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762FCDF" w14:textId="77777777" w:rsidR="00EC2393" w:rsidRPr="000D7198" w:rsidRDefault="00AF51E3" w:rsidP="000D7198">
      <w:pPr>
        <w:spacing w:line="260" w:lineRule="atLeast"/>
        <w:rPr>
          <w:rFonts w:cs="Arial"/>
          <w:b/>
          <w:sz w:val="24"/>
          <w:szCs w:val="24"/>
        </w:rPr>
      </w:pPr>
      <w:bookmarkStart w:id="0" w:name="_GoBack"/>
      <w:bookmarkEnd w:id="0"/>
      <w:r w:rsidRPr="000D7198">
        <w:rPr>
          <w:rFonts w:cs="Arial"/>
          <w:b/>
          <w:sz w:val="24"/>
          <w:szCs w:val="24"/>
        </w:rPr>
        <w:t>Rechtsmittelbelehrung</w:t>
      </w:r>
    </w:p>
    <w:p w14:paraId="6B8BB726" w14:textId="77777777" w:rsidR="007F3F10" w:rsidRPr="000D7198" w:rsidRDefault="007F3F10" w:rsidP="000D7198">
      <w:pPr>
        <w:autoSpaceDE w:val="0"/>
        <w:autoSpaceDN w:val="0"/>
        <w:adjustRightInd w:val="0"/>
        <w:spacing w:line="260" w:lineRule="atLeast"/>
        <w:rPr>
          <w:rFonts w:eastAsia="MS Mincho" w:cs="Arial"/>
          <w:color w:val="000000"/>
          <w:sz w:val="21"/>
          <w:szCs w:val="21"/>
          <w:lang w:val="de-CH"/>
        </w:rPr>
      </w:pPr>
    </w:p>
    <w:p w14:paraId="69FE1939" w14:textId="77777777" w:rsidR="007F3F10" w:rsidRPr="000D7198" w:rsidRDefault="007F3F10" w:rsidP="000D7198">
      <w:pPr>
        <w:autoSpaceDE w:val="0"/>
        <w:autoSpaceDN w:val="0"/>
        <w:adjustRightInd w:val="0"/>
        <w:spacing w:line="260" w:lineRule="atLeast"/>
        <w:rPr>
          <w:rFonts w:eastAsia="MS Mincho" w:cs="Arial"/>
          <w:color w:val="000000"/>
          <w:sz w:val="21"/>
          <w:szCs w:val="21"/>
          <w:lang w:val="de-CH"/>
        </w:rPr>
      </w:pPr>
      <w:r w:rsidRPr="000D7198">
        <w:rPr>
          <w:rFonts w:eastAsia="MS Mincho" w:cs="Arial"/>
          <w:color w:val="000000"/>
          <w:sz w:val="21"/>
          <w:szCs w:val="21"/>
          <w:lang w:val="de-CH"/>
        </w:rPr>
        <w:t>Jede abgelegte Prüfungsleistung des GBS St.Gallen stellt eine anfechtbare Verfügung dar. Als Rechtsmittel steht der Rekurs an die Rekursinstanz offen. Mit diesem Rechtsmittel kann nur die Rechtswidrigkeit der Prüfungsergebnisse überprüft werden. Unter dem Begriff der Rechtswidrigkeit werden folgende Tatbestände verstanden:</w:t>
      </w:r>
    </w:p>
    <w:p w14:paraId="541A999D" w14:textId="77777777" w:rsidR="007F3F10" w:rsidRPr="000D7198" w:rsidRDefault="007F3F10" w:rsidP="000D7198">
      <w:pPr>
        <w:autoSpaceDE w:val="0"/>
        <w:autoSpaceDN w:val="0"/>
        <w:adjustRightInd w:val="0"/>
        <w:spacing w:line="260" w:lineRule="atLeast"/>
        <w:rPr>
          <w:rFonts w:eastAsia="MS Mincho" w:cs="Arial"/>
          <w:color w:val="000000"/>
          <w:sz w:val="21"/>
          <w:szCs w:val="21"/>
          <w:lang w:val="de-CH"/>
        </w:rPr>
      </w:pPr>
    </w:p>
    <w:p w14:paraId="1B840A2F" w14:textId="77777777" w:rsidR="007F3F10" w:rsidRPr="000D7198" w:rsidRDefault="007F3F10" w:rsidP="000D7198">
      <w:pPr>
        <w:pStyle w:val="Listenabsatz"/>
        <w:numPr>
          <w:ilvl w:val="0"/>
          <w:numId w:val="11"/>
        </w:numPr>
        <w:autoSpaceDE w:val="0"/>
        <w:autoSpaceDN w:val="0"/>
        <w:adjustRightInd w:val="0"/>
        <w:spacing w:line="260" w:lineRule="atLeast"/>
        <w:rPr>
          <w:rFonts w:eastAsia="MS Mincho" w:cs="Arial"/>
          <w:color w:val="000000"/>
          <w:sz w:val="21"/>
          <w:szCs w:val="21"/>
          <w:lang w:val="de-CH"/>
        </w:rPr>
      </w:pPr>
      <w:r w:rsidRPr="000D7198">
        <w:rPr>
          <w:rFonts w:eastAsia="MS Mincho" w:cs="Arial"/>
          <w:color w:val="000000"/>
          <w:sz w:val="21"/>
          <w:szCs w:val="21"/>
          <w:lang w:val="de-CH"/>
        </w:rPr>
        <w:t>Willkür: Ein unverständliches, nicht nachvollziehbares, durch keine vernünftigen Argumente getragenes Verhalten der Expertengruppe. Ein blosses «man hätte es aber auch anders machen können» reicht nicht. Die Rechtsfolge bei einer Gutheissung besteht in der Neukorrektur der Prüfung.</w:t>
      </w:r>
      <w:r w:rsidRPr="000D7198">
        <w:rPr>
          <w:rFonts w:eastAsia="MS Mincho" w:cs="Arial"/>
          <w:color w:val="000000"/>
          <w:sz w:val="21"/>
          <w:szCs w:val="21"/>
          <w:lang w:val="de-CH"/>
        </w:rPr>
        <w:br/>
      </w:r>
    </w:p>
    <w:p w14:paraId="33876100" w14:textId="77777777" w:rsidR="007F3F10" w:rsidRPr="000D7198" w:rsidRDefault="007F3F10" w:rsidP="000D7198">
      <w:pPr>
        <w:pStyle w:val="Listenabsatz"/>
        <w:numPr>
          <w:ilvl w:val="0"/>
          <w:numId w:val="11"/>
        </w:numPr>
        <w:autoSpaceDE w:val="0"/>
        <w:autoSpaceDN w:val="0"/>
        <w:adjustRightInd w:val="0"/>
        <w:spacing w:line="260" w:lineRule="atLeast"/>
        <w:rPr>
          <w:rFonts w:eastAsia="MS Mincho" w:cs="Arial"/>
          <w:color w:val="000000"/>
          <w:sz w:val="21"/>
          <w:szCs w:val="21"/>
          <w:lang w:val="de-CH"/>
        </w:rPr>
      </w:pPr>
      <w:r w:rsidRPr="000D7198">
        <w:rPr>
          <w:rFonts w:eastAsia="MS Mincho" w:cs="Arial"/>
          <w:color w:val="000000"/>
          <w:sz w:val="21"/>
          <w:szCs w:val="21"/>
          <w:lang w:val="de-CH"/>
        </w:rPr>
        <w:t>Wesentlicher Verfahrensmangel: Ist ebenfalls ein Fall von Willkür, unterscheidet sich aber in der Rechtsfolge. Eine Verbesserung der Note ist nicht möglich, so dass als Rechtsfolge nur eine Annullierung der Note in Frage kommt.</w:t>
      </w:r>
      <w:r w:rsidRPr="000D7198">
        <w:rPr>
          <w:rFonts w:eastAsia="MS Mincho" w:cs="Arial"/>
          <w:color w:val="000000"/>
          <w:sz w:val="21"/>
          <w:szCs w:val="21"/>
          <w:lang w:val="de-CH"/>
        </w:rPr>
        <w:br/>
      </w:r>
    </w:p>
    <w:p w14:paraId="6BA1121E" w14:textId="77777777" w:rsidR="007F3F10" w:rsidRPr="000D7198" w:rsidRDefault="007F3F10" w:rsidP="000D7198">
      <w:pPr>
        <w:autoSpaceDE w:val="0"/>
        <w:autoSpaceDN w:val="0"/>
        <w:adjustRightInd w:val="0"/>
        <w:spacing w:line="260" w:lineRule="atLeast"/>
        <w:rPr>
          <w:rFonts w:eastAsia="MS Mincho" w:cs="Arial"/>
          <w:b/>
          <w:sz w:val="21"/>
          <w:szCs w:val="21"/>
          <w:lang w:val="de-CH"/>
        </w:rPr>
      </w:pPr>
      <w:r w:rsidRPr="000D7198">
        <w:rPr>
          <w:rFonts w:eastAsia="MS Mincho" w:cs="Arial"/>
          <w:b/>
          <w:sz w:val="21"/>
          <w:szCs w:val="21"/>
          <w:lang w:val="de-CH"/>
        </w:rPr>
        <w:t>Wer ist Rekursinstanz?</w:t>
      </w:r>
    </w:p>
    <w:p w14:paraId="1D40EFED" w14:textId="77777777" w:rsidR="007F3F10" w:rsidRPr="000D7198" w:rsidRDefault="007F3F10" w:rsidP="000D7198">
      <w:pPr>
        <w:pStyle w:val="Default"/>
        <w:spacing w:line="260" w:lineRule="atLeast"/>
        <w:rPr>
          <w:color w:val="auto"/>
          <w:sz w:val="21"/>
          <w:szCs w:val="21"/>
        </w:rPr>
      </w:pPr>
      <w:r w:rsidRPr="000D7198">
        <w:rPr>
          <w:color w:val="auto"/>
          <w:sz w:val="21"/>
          <w:szCs w:val="21"/>
        </w:rPr>
        <w:t>Verfügungen unterer Instanzen des GBS können mit Rekurs bei der Rektorin oder beim Rektor angefochten werden (Art. 41 EG-BB).</w:t>
      </w:r>
    </w:p>
    <w:p w14:paraId="5F4127A5" w14:textId="77777777" w:rsidR="007F3F10" w:rsidRPr="000D7198" w:rsidRDefault="007F3F10" w:rsidP="000D7198">
      <w:pPr>
        <w:autoSpaceDE w:val="0"/>
        <w:autoSpaceDN w:val="0"/>
        <w:adjustRightInd w:val="0"/>
        <w:spacing w:line="260" w:lineRule="atLeast"/>
        <w:rPr>
          <w:rFonts w:eastAsia="MS Mincho" w:cs="Arial"/>
          <w:sz w:val="21"/>
          <w:szCs w:val="21"/>
          <w:lang w:val="de-CH"/>
        </w:rPr>
      </w:pPr>
      <w:r w:rsidRPr="000D7198">
        <w:rPr>
          <w:rFonts w:eastAsia="MS Mincho" w:cs="Arial"/>
          <w:sz w:val="21"/>
          <w:szCs w:val="21"/>
          <w:lang w:val="de-CH"/>
        </w:rPr>
        <w:t xml:space="preserve">Verfügungen und Entscheide der Rektorin oder des Rektors </w:t>
      </w:r>
      <w:r w:rsidRPr="000D7198">
        <w:rPr>
          <w:sz w:val="21"/>
          <w:szCs w:val="21"/>
        </w:rPr>
        <w:t>können m</w:t>
      </w:r>
      <w:r w:rsidRPr="000D7198">
        <w:rPr>
          <w:rFonts w:eastAsia="MS Mincho" w:cs="Arial"/>
          <w:sz w:val="21"/>
          <w:szCs w:val="21"/>
          <w:lang w:val="de-CH"/>
        </w:rPr>
        <w:t>it Rekurs beim Bildungsdepartement</w:t>
      </w:r>
      <w:r w:rsidRPr="000D7198">
        <w:rPr>
          <w:sz w:val="21"/>
          <w:szCs w:val="21"/>
        </w:rPr>
        <w:t xml:space="preserve"> </w:t>
      </w:r>
      <w:r w:rsidRPr="000D7198">
        <w:rPr>
          <w:rFonts w:eastAsia="MS Mincho" w:cs="Arial"/>
          <w:sz w:val="21"/>
          <w:szCs w:val="21"/>
          <w:lang w:val="de-CH"/>
        </w:rPr>
        <w:t>angefochten werden (Art. 43bis VRP).</w:t>
      </w:r>
      <w:r w:rsidRPr="000D7198">
        <w:rPr>
          <w:sz w:val="21"/>
          <w:szCs w:val="21"/>
        </w:rPr>
        <w:t xml:space="preserve"> Sie sind an das </w:t>
      </w:r>
      <w:r w:rsidRPr="000D7198">
        <w:rPr>
          <w:rFonts w:eastAsia="MS Mincho" w:cs="Arial"/>
          <w:sz w:val="21"/>
          <w:szCs w:val="21"/>
          <w:lang w:val="de-CH"/>
        </w:rPr>
        <w:t>Amt für Berufsbildung</w:t>
      </w:r>
      <w:r w:rsidRPr="000D7198">
        <w:rPr>
          <w:sz w:val="21"/>
          <w:szCs w:val="21"/>
        </w:rPr>
        <w:t xml:space="preserve">, </w:t>
      </w:r>
      <w:r w:rsidRPr="000D7198">
        <w:rPr>
          <w:rFonts w:eastAsia="MS Mincho" w:cs="Arial"/>
          <w:sz w:val="21"/>
          <w:szCs w:val="21"/>
          <w:lang w:val="de-CH"/>
        </w:rPr>
        <w:t>Abteilung Weiterbildung / Höhere Berufsbildung</w:t>
      </w:r>
      <w:r w:rsidRPr="000D7198">
        <w:rPr>
          <w:sz w:val="21"/>
          <w:szCs w:val="21"/>
        </w:rPr>
        <w:t xml:space="preserve">, </w:t>
      </w:r>
      <w:r w:rsidRPr="000D7198">
        <w:rPr>
          <w:rFonts w:ascii="ArialMT" w:eastAsia="MS Mincho" w:hAnsi="ArialMT" w:cs="ArialMT"/>
          <w:sz w:val="21"/>
          <w:szCs w:val="21"/>
          <w:lang w:val="de-CH"/>
        </w:rPr>
        <w:t xml:space="preserve">Davidstrasse 31 </w:t>
      </w:r>
      <w:r w:rsidRPr="000D7198">
        <w:rPr>
          <w:rFonts w:eastAsia="MS Mincho" w:cs="Arial"/>
          <w:sz w:val="21"/>
          <w:szCs w:val="21"/>
          <w:lang w:val="de-CH"/>
        </w:rPr>
        <w:t>90</w:t>
      </w:r>
      <w:r w:rsidRPr="000D7198">
        <w:rPr>
          <w:rFonts w:ascii="ArialMT" w:eastAsia="MS Mincho" w:hAnsi="ArialMT" w:cs="ArialMT"/>
          <w:sz w:val="21"/>
          <w:szCs w:val="21"/>
          <w:lang w:val="de-CH"/>
        </w:rPr>
        <w:t xml:space="preserve">01 </w:t>
      </w:r>
      <w:r w:rsidRPr="000D7198">
        <w:rPr>
          <w:rFonts w:eastAsia="MS Mincho" w:cs="Arial"/>
          <w:sz w:val="21"/>
          <w:szCs w:val="21"/>
          <w:lang w:val="de-CH"/>
        </w:rPr>
        <w:t>St.Gallen</w:t>
      </w:r>
      <w:r w:rsidRPr="000D7198">
        <w:rPr>
          <w:sz w:val="21"/>
          <w:szCs w:val="21"/>
        </w:rPr>
        <w:t xml:space="preserve"> zu richten.</w:t>
      </w:r>
    </w:p>
    <w:p w14:paraId="619AC8E5" w14:textId="77777777" w:rsidR="007F3F10" w:rsidRPr="000D7198" w:rsidRDefault="007F3F10" w:rsidP="000D7198">
      <w:pPr>
        <w:autoSpaceDE w:val="0"/>
        <w:autoSpaceDN w:val="0"/>
        <w:adjustRightInd w:val="0"/>
        <w:spacing w:line="260" w:lineRule="atLeast"/>
        <w:rPr>
          <w:rFonts w:eastAsia="MS Mincho" w:cs="Arial"/>
          <w:color w:val="000000"/>
          <w:sz w:val="21"/>
          <w:szCs w:val="21"/>
          <w:lang w:val="de-CH"/>
        </w:rPr>
      </w:pPr>
    </w:p>
    <w:p w14:paraId="0A19DEDF" w14:textId="77777777" w:rsidR="007F3F10" w:rsidRPr="000D7198" w:rsidRDefault="007F3F10" w:rsidP="000D7198">
      <w:pPr>
        <w:autoSpaceDE w:val="0"/>
        <w:autoSpaceDN w:val="0"/>
        <w:adjustRightInd w:val="0"/>
        <w:spacing w:line="260" w:lineRule="atLeast"/>
        <w:rPr>
          <w:rFonts w:eastAsia="MS Mincho" w:cs="Arial"/>
          <w:b/>
          <w:bCs/>
          <w:color w:val="000000"/>
          <w:sz w:val="21"/>
          <w:szCs w:val="21"/>
          <w:lang w:val="de-CH"/>
        </w:rPr>
      </w:pPr>
      <w:r w:rsidRPr="000D7198">
        <w:rPr>
          <w:rFonts w:eastAsia="MS Mincho" w:cs="Arial"/>
          <w:b/>
          <w:bCs/>
          <w:color w:val="000000"/>
          <w:sz w:val="21"/>
          <w:szCs w:val="21"/>
          <w:lang w:val="de-CH"/>
        </w:rPr>
        <w:t>Welche Folgen hat ein Rekurs?</w:t>
      </w:r>
    </w:p>
    <w:p w14:paraId="1D87D726" w14:textId="77777777" w:rsidR="007F3F10" w:rsidRPr="000D7198" w:rsidRDefault="007F3F10" w:rsidP="000D7198">
      <w:pPr>
        <w:autoSpaceDE w:val="0"/>
        <w:autoSpaceDN w:val="0"/>
        <w:adjustRightInd w:val="0"/>
        <w:spacing w:line="260" w:lineRule="atLeast"/>
        <w:rPr>
          <w:rFonts w:eastAsia="MS Mincho" w:cs="Arial"/>
          <w:color w:val="000000"/>
          <w:sz w:val="21"/>
          <w:szCs w:val="21"/>
          <w:lang w:val="de-CH"/>
        </w:rPr>
      </w:pPr>
      <w:r w:rsidRPr="000D7198">
        <w:rPr>
          <w:rFonts w:eastAsia="MS Mincho" w:cs="Arial"/>
          <w:color w:val="000000"/>
          <w:sz w:val="21"/>
          <w:szCs w:val="21"/>
          <w:lang w:val="de-CH"/>
        </w:rPr>
        <w:t>Bei einer Gutheissung des Rekurses kommen als Rechtsfolgen Annullierung der Prüfung oder eine Neukorrektur der Prüfung in Frage. Dies hängt davon ab, ob die Rechtswidrigkeit in einer Willkür</w:t>
      </w:r>
      <w:r w:rsidRPr="000D7198">
        <w:rPr>
          <w:rFonts w:eastAsia="MS Mincho" w:cs="Arial"/>
          <w:color w:val="000000"/>
          <w:sz w:val="21"/>
          <w:szCs w:val="21"/>
          <w:lang w:val="de-CH"/>
        </w:rPr>
        <w:br/>
        <w:t>oder in einem wesentlichen Verfahrensmangel besteht. Bei der Abweisung eines Rekurses bleibt die Prüfungsle</w:t>
      </w:r>
      <w:r w:rsidRPr="000D7198">
        <w:rPr>
          <w:rFonts w:eastAsia="MS Mincho" w:cs="Arial"/>
          <w:sz w:val="21"/>
          <w:szCs w:val="21"/>
          <w:lang w:val="de-CH"/>
        </w:rPr>
        <w:t>istung bestehen. Entscheide der Rektorin oder des Rektors können an das Amt für Berufsbildung weitergezogen werden.</w:t>
      </w:r>
    </w:p>
    <w:p w14:paraId="7F5580E0" w14:textId="77777777" w:rsidR="007F3F10" w:rsidRPr="000D7198" w:rsidRDefault="007F3F10" w:rsidP="000D7198">
      <w:pPr>
        <w:autoSpaceDE w:val="0"/>
        <w:autoSpaceDN w:val="0"/>
        <w:adjustRightInd w:val="0"/>
        <w:spacing w:line="260" w:lineRule="atLeast"/>
        <w:rPr>
          <w:rFonts w:eastAsia="MS Mincho" w:cs="Arial"/>
          <w:color w:val="000000"/>
          <w:sz w:val="21"/>
          <w:szCs w:val="21"/>
          <w:lang w:val="de-CH"/>
        </w:rPr>
      </w:pPr>
      <w:r w:rsidRPr="000D7198">
        <w:rPr>
          <w:rFonts w:eastAsia="MS Mincho" w:cs="Arial"/>
          <w:color w:val="000000"/>
          <w:sz w:val="21"/>
          <w:szCs w:val="21"/>
          <w:lang w:val="de-CH"/>
        </w:rPr>
        <w:t>Wird der Rekurs gutgeheissen, so ist das Verfahren kostenlos. Wird dagegen der Rekurs abgewiesen, so fallen Kosten an. Je nach Aufwand belaufen sich die Gebühren auf CHF 500.– bis 1‘500.–.</w:t>
      </w:r>
    </w:p>
    <w:p w14:paraId="0E3E1ACC" w14:textId="77777777" w:rsidR="007F3F10" w:rsidRPr="000D7198" w:rsidRDefault="007F3F10" w:rsidP="000D7198">
      <w:pPr>
        <w:autoSpaceDE w:val="0"/>
        <w:autoSpaceDN w:val="0"/>
        <w:adjustRightInd w:val="0"/>
        <w:spacing w:line="260" w:lineRule="atLeast"/>
        <w:rPr>
          <w:rFonts w:eastAsia="MS Mincho" w:cs="Arial"/>
          <w:color w:val="000000"/>
          <w:sz w:val="21"/>
          <w:szCs w:val="21"/>
          <w:lang w:val="de-CH"/>
        </w:rPr>
      </w:pPr>
    </w:p>
    <w:p w14:paraId="7F96BCAD" w14:textId="77777777" w:rsidR="007F3F10" w:rsidRPr="000D7198" w:rsidRDefault="007F3F10" w:rsidP="000D7198">
      <w:pPr>
        <w:autoSpaceDE w:val="0"/>
        <w:autoSpaceDN w:val="0"/>
        <w:adjustRightInd w:val="0"/>
        <w:spacing w:line="260" w:lineRule="atLeast"/>
        <w:rPr>
          <w:rFonts w:eastAsia="MS Mincho" w:cs="Arial"/>
          <w:b/>
          <w:bCs/>
          <w:color w:val="000000"/>
          <w:sz w:val="21"/>
          <w:szCs w:val="21"/>
          <w:lang w:val="de-CH"/>
        </w:rPr>
      </w:pPr>
      <w:r w:rsidRPr="000D7198">
        <w:rPr>
          <w:rFonts w:eastAsia="MS Mincho" w:cs="Arial"/>
          <w:b/>
          <w:bCs/>
          <w:color w:val="000000"/>
          <w:sz w:val="21"/>
          <w:szCs w:val="21"/>
          <w:lang w:val="de-CH"/>
        </w:rPr>
        <w:t>Wie kann ich das Rekursverfahren eröffnen?</w:t>
      </w:r>
    </w:p>
    <w:p w14:paraId="54D13E5E" w14:textId="77777777" w:rsidR="007F3F10" w:rsidRPr="000D7198" w:rsidRDefault="007F3F10" w:rsidP="000D7198">
      <w:pPr>
        <w:autoSpaceDE w:val="0"/>
        <w:autoSpaceDN w:val="0"/>
        <w:adjustRightInd w:val="0"/>
        <w:spacing w:line="260" w:lineRule="atLeast"/>
        <w:rPr>
          <w:rFonts w:eastAsia="MS Mincho" w:cs="Arial"/>
          <w:color w:val="000000"/>
          <w:sz w:val="21"/>
          <w:szCs w:val="21"/>
          <w:lang w:val="de-CH"/>
        </w:rPr>
      </w:pPr>
      <w:r w:rsidRPr="000D7198">
        <w:rPr>
          <w:rFonts w:eastAsia="MS Mincho" w:cs="Arial"/>
          <w:color w:val="000000"/>
          <w:sz w:val="21"/>
          <w:szCs w:val="21"/>
          <w:lang w:val="de-CH"/>
        </w:rPr>
        <w:t>Das Verfahren wird eröffnet, indem fristgerecht ein Rekursschreiben an die Rekursinstanz</w:t>
      </w:r>
      <w:r w:rsidRPr="000D7198">
        <w:rPr>
          <w:rFonts w:ascii="ArialMT" w:eastAsia="MS Mincho" w:hAnsi="ArialMT" w:cs="ArialMT"/>
          <w:color w:val="000000"/>
          <w:sz w:val="21"/>
          <w:szCs w:val="21"/>
          <w:lang w:val="de-CH"/>
        </w:rPr>
        <w:t xml:space="preserve"> </w:t>
      </w:r>
      <w:r w:rsidRPr="000D7198">
        <w:rPr>
          <w:rFonts w:eastAsia="MS Mincho" w:cs="Arial"/>
          <w:color w:val="000000"/>
          <w:sz w:val="21"/>
          <w:szCs w:val="21"/>
          <w:lang w:val="de-CH"/>
        </w:rPr>
        <w:t>gesendet wird. Das Rekursschreiben ist, was die formale Gestaltung anbelangt, wie ein gewöhnlicher Geschäftsbrief aufzusetzen. Zu jedem Rekurspunkt muss der Sachverhalt kurz, klar und vollständig beschrieben sein. Zudem muss im Schreiben der Antrag klar formuliert sein (Neukorrektur bei Willkür und Annullierung bei wesentlichem Verfahrensmangel). Das Rekursschreiben muss handschriftlich unterzeichnet sein.</w:t>
      </w:r>
    </w:p>
    <w:p w14:paraId="7A52905C" w14:textId="77777777" w:rsidR="007F3F10" w:rsidRPr="000D7198" w:rsidRDefault="007F3F10" w:rsidP="000D7198">
      <w:pPr>
        <w:autoSpaceDE w:val="0"/>
        <w:autoSpaceDN w:val="0"/>
        <w:adjustRightInd w:val="0"/>
        <w:spacing w:line="260" w:lineRule="atLeast"/>
        <w:rPr>
          <w:rFonts w:eastAsia="MS Mincho" w:cs="Arial"/>
          <w:b/>
          <w:bCs/>
          <w:color w:val="000000"/>
          <w:sz w:val="21"/>
          <w:szCs w:val="21"/>
          <w:lang w:val="de-CH"/>
        </w:rPr>
      </w:pPr>
    </w:p>
    <w:p w14:paraId="4C790F0F" w14:textId="77777777" w:rsidR="007F3F10" w:rsidRPr="000D7198" w:rsidRDefault="007F3F10" w:rsidP="000D7198">
      <w:pPr>
        <w:autoSpaceDE w:val="0"/>
        <w:autoSpaceDN w:val="0"/>
        <w:adjustRightInd w:val="0"/>
        <w:spacing w:line="260" w:lineRule="atLeast"/>
        <w:rPr>
          <w:rFonts w:eastAsia="MS Mincho" w:cs="Arial"/>
          <w:b/>
          <w:bCs/>
          <w:color w:val="000000"/>
          <w:sz w:val="21"/>
          <w:szCs w:val="21"/>
          <w:lang w:val="de-CH"/>
        </w:rPr>
      </w:pPr>
      <w:r w:rsidRPr="000D7198">
        <w:rPr>
          <w:rFonts w:eastAsia="MS Mincho" w:cs="Arial"/>
          <w:b/>
          <w:bCs/>
          <w:color w:val="000000"/>
          <w:sz w:val="21"/>
          <w:szCs w:val="21"/>
          <w:lang w:val="de-CH"/>
        </w:rPr>
        <w:t>Welche Fristen sind einzuhalten?</w:t>
      </w:r>
    </w:p>
    <w:p w14:paraId="5B43932E" w14:textId="77777777" w:rsidR="007F3F10" w:rsidRPr="000D7198" w:rsidRDefault="007F3F10" w:rsidP="000D7198">
      <w:pPr>
        <w:autoSpaceDE w:val="0"/>
        <w:autoSpaceDN w:val="0"/>
        <w:adjustRightInd w:val="0"/>
        <w:spacing w:line="260" w:lineRule="atLeast"/>
        <w:rPr>
          <w:rFonts w:eastAsia="MS Mincho" w:cs="Arial"/>
          <w:color w:val="000000"/>
          <w:sz w:val="21"/>
          <w:szCs w:val="21"/>
          <w:lang w:val="de-CH"/>
        </w:rPr>
      </w:pPr>
      <w:r w:rsidRPr="000D7198">
        <w:rPr>
          <w:rFonts w:eastAsia="MS Mincho" w:cs="Arial"/>
          <w:color w:val="000000"/>
          <w:sz w:val="21"/>
          <w:szCs w:val="21"/>
          <w:lang w:val="de-CH"/>
        </w:rPr>
        <w:t>Der Rekurs muss innert der Rekursfrist bei der Rekursinstanz eingehen. Die Rekursfrist wird den Studierenden auf der Notenverfügung mitgeteilt. Sollte die Prüfungseinsicht aus nachvollziehbaren Gründen erst nach Ablauf der Rekursfrist stattfinden, so kann bei der Rekursinstanz eine Fristerstreckung beantragt werden.</w:t>
      </w:r>
    </w:p>
    <w:p w14:paraId="4A7238A8" w14:textId="77777777" w:rsidR="00897DE2" w:rsidRPr="000D7198" w:rsidRDefault="00897DE2" w:rsidP="000D7198">
      <w:pPr>
        <w:spacing w:line="260" w:lineRule="atLeast"/>
        <w:rPr>
          <w:rFonts w:eastAsia="MS Mincho" w:cs="Arial"/>
          <w:b/>
          <w:bCs/>
          <w:color w:val="000000"/>
          <w:sz w:val="21"/>
          <w:szCs w:val="21"/>
          <w:lang w:val="de-CH"/>
        </w:rPr>
      </w:pPr>
      <w:r w:rsidRPr="000D7198">
        <w:rPr>
          <w:rFonts w:eastAsia="MS Mincho" w:cs="Arial"/>
          <w:b/>
          <w:bCs/>
          <w:color w:val="000000"/>
          <w:sz w:val="21"/>
          <w:szCs w:val="21"/>
          <w:lang w:val="de-CH"/>
        </w:rPr>
        <w:br w:type="page"/>
      </w:r>
    </w:p>
    <w:p w14:paraId="1AF462EB" w14:textId="77777777" w:rsidR="007F3F10" w:rsidRPr="000D7198" w:rsidRDefault="007F3F10" w:rsidP="000D7198">
      <w:pPr>
        <w:autoSpaceDE w:val="0"/>
        <w:autoSpaceDN w:val="0"/>
        <w:adjustRightInd w:val="0"/>
        <w:spacing w:line="260" w:lineRule="atLeast"/>
        <w:rPr>
          <w:rFonts w:eastAsia="MS Mincho" w:cs="Arial"/>
          <w:b/>
          <w:bCs/>
          <w:color w:val="000000"/>
          <w:sz w:val="21"/>
          <w:szCs w:val="21"/>
          <w:lang w:val="de-CH"/>
        </w:rPr>
      </w:pPr>
      <w:r w:rsidRPr="000D7198">
        <w:rPr>
          <w:rFonts w:eastAsia="MS Mincho" w:cs="Arial"/>
          <w:b/>
          <w:bCs/>
          <w:color w:val="000000"/>
          <w:sz w:val="21"/>
          <w:szCs w:val="21"/>
          <w:lang w:val="de-CH"/>
        </w:rPr>
        <w:lastRenderedPageBreak/>
        <w:t>Wie gut sind denn meine Chancen?</w:t>
      </w:r>
    </w:p>
    <w:p w14:paraId="2C839BB4" w14:textId="77777777" w:rsidR="007F3F10" w:rsidRPr="000D7198" w:rsidRDefault="007F3F10" w:rsidP="000D7198">
      <w:pPr>
        <w:autoSpaceDE w:val="0"/>
        <w:autoSpaceDN w:val="0"/>
        <w:adjustRightInd w:val="0"/>
        <w:spacing w:line="260" w:lineRule="atLeast"/>
        <w:rPr>
          <w:rFonts w:eastAsia="MS Mincho" w:cs="Arial"/>
          <w:color w:val="000000"/>
          <w:sz w:val="21"/>
          <w:szCs w:val="21"/>
          <w:lang w:val="de-CH"/>
        </w:rPr>
      </w:pPr>
      <w:r w:rsidRPr="000D7198">
        <w:rPr>
          <w:rFonts w:eastAsia="MS Mincho" w:cs="Arial"/>
          <w:color w:val="000000"/>
          <w:sz w:val="21"/>
          <w:szCs w:val="21"/>
          <w:lang w:val="de-CH"/>
        </w:rPr>
        <w:t>Die Anforderungen an einen Rekurs sind hoch. Ein Rekurs ist nur dann erfolgversprechend, wenn ein objektiver Fehler nachgewiesen werden kann, der für die beanstandete Note kausal war. Fehlt es an dieser Voraussetzung, ist das Verhandeln um einzelne Punkte nicht erfolgversprechend.</w:t>
      </w:r>
    </w:p>
    <w:p w14:paraId="4FF9030F" w14:textId="77777777" w:rsidR="007F3F10" w:rsidRPr="000D7198" w:rsidRDefault="007F3F10" w:rsidP="000D7198">
      <w:pPr>
        <w:autoSpaceDE w:val="0"/>
        <w:autoSpaceDN w:val="0"/>
        <w:adjustRightInd w:val="0"/>
        <w:spacing w:line="260" w:lineRule="atLeast"/>
        <w:rPr>
          <w:rFonts w:eastAsia="MS Mincho" w:cs="Arial"/>
          <w:color w:val="000000"/>
          <w:sz w:val="21"/>
          <w:szCs w:val="21"/>
          <w:lang w:val="de-CH"/>
        </w:rPr>
      </w:pPr>
    </w:p>
    <w:p w14:paraId="1EF738E8" w14:textId="77777777" w:rsidR="007F3F10" w:rsidRPr="000D7198" w:rsidRDefault="007F3F10" w:rsidP="000D7198">
      <w:pPr>
        <w:autoSpaceDE w:val="0"/>
        <w:autoSpaceDN w:val="0"/>
        <w:adjustRightInd w:val="0"/>
        <w:spacing w:line="260" w:lineRule="atLeast"/>
        <w:rPr>
          <w:rFonts w:eastAsia="MS Mincho" w:cs="Arial"/>
          <w:b/>
          <w:bCs/>
          <w:color w:val="000000"/>
          <w:sz w:val="21"/>
          <w:szCs w:val="21"/>
          <w:lang w:val="de-CH"/>
        </w:rPr>
      </w:pPr>
      <w:r w:rsidRPr="000D7198">
        <w:rPr>
          <w:rFonts w:eastAsia="MS Mincho" w:cs="Arial"/>
          <w:b/>
          <w:bCs/>
          <w:color w:val="000000"/>
          <w:sz w:val="21"/>
          <w:szCs w:val="21"/>
          <w:lang w:val="de-CH"/>
        </w:rPr>
        <w:t>Rekurseingabe</w:t>
      </w:r>
    </w:p>
    <w:p w14:paraId="0D4EE9B0" w14:textId="77777777" w:rsidR="007F3F10" w:rsidRPr="000D7198" w:rsidRDefault="007F3F10" w:rsidP="000D7198">
      <w:pPr>
        <w:autoSpaceDE w:val="0"/>
        <w:autoSpaceDN w:val="0"/>
        <w:adjustRightInd w:val="0"/>
        <w:spacing w:line="260" w:lineRule="atLeast"/>
        <w:rPr>
          <w:rFonts w:eastAsia="MS Mincho" w:cs="Arial"/>
          <w:color w:val="000000"/>
          <w:sz w:val="21"/>
          <w:szCs w:val="21"/>
          <w:lang w:val="de-CH"/>
        </w:rPr>
      </w:pPr>
      <w:r w:rsidRPr="000D7198">
        <w:rPr>
          <w:rFonts w:eastAsia="MS Mincho" w:cs="Arial"/>
          <w:color w:val="000000"/>
          <w:sz w:val="21"/>
          <w:szCs w:val="21"/>
          <w:lang w:val="de-CH"/>
        </w:rPr>
        <w:t>Ein Rekurs ist schriftlich einzureichen und zu begründen (Art. 47 VRP). Die angefochtene Verfügung</w:t>
      </w:r>
    </w:p>
    <w:p w14:paraId="2767AA67" w14:textId="77777777" w:rsidR="007F3F10" w:rsidRPr="000D7198" w:rsidRDefault="007F3F10" w:rsidP="000D7198">
      <w:pPr>
        <w:autoSpaceDE w:val="0"/>
        <w:autoSpaceDN w:val="0"/>
        <w:adjustRightInd w:val="0"/>
        <w:spacing w:line="260" w:lineRule="atLeast"/>
        <w:rPr>
          <w:rFonts w:eastAsia="MS Mincho" w:cs="Arial"/>
          <w:color w:val="000000"/>
          <w:sz w:val="21"/>
          <w:szCs w:val="21"/>
          <w:lang w:val="de-CH"/>
        </w:rPr>
      </w:pPr>
      <w:r w:rsidRPr="000D7198">
        <w:rPr>
          <w:rFonts w:eastAsia="MS Mincho" w:cs="Arial"/>
          <w:color w:val="000000"/>
          <w:sz w:val="21"/>
          <w:szCs w:val="21"/>
          <w:lang w:val="de-CH"/>
        </w:rPr>
        <w:t>und allfällige Beweismittel sind beizulegen (Art. 50 VRP). Fehlen Begründung, Unterschrift oder die</w:t>
      </w:r>
    </w:p>
    <w:p w14:paraId="4F01045D" w14:textId="77777777" w:rsidR="007F3F10" w:rsidRPr="000D7198" w:rsidRDefault="007F3F10" w:rsidP="000D7198">
      <w:pPr>
        <w:autoSpaceDE w:val="0"/>
        <w:autoSpaceDN w:val="0"/>
        <w:adjustRightInd w:val="0"/>
        <w:spacing w:line="260" w:lineRule="atLeast"/>
        <w:rPr>
          <w:rFonts w:eastAsia="MS Mincho" w:cs="Arial"/>
          <w:color w:val="000000"/>
          <w:sz w:val="21"/>
          <w:szCs w:val="21"/>
          <w:lang w:val="de-CH"/>
        </w:rPr>
      </w:pPr>
      <w:r w:rsidRPr="000D7198">
        <w:rPr>
          <w:rFonts w:eastAsia="MS Mincho" w:cs="Arial"/>
          <w:color w:val="000000"/>
          <w:sz w:val="21"/>
          <w:szCs w:val="21"/>
          <w:lang w:val="de-CH"/>
        </w:rPr>
        <w:t>angefochtene Verfügung, ist eine angemessene Nachfrist anzusetzen. Der Rekurs gilt dennoch als</w:t>
      </w:r>
    </w:p>
    <w:p w14:paraId="7511408B" w14:textId="77777777" w:rsidR="007F3F10" w:rsidRPr="000D7198" w:rsidRDefault="007F3F10" w:rsidP="000D7198">
      <w:pPr>
        <w:autoSpaceDE w:val="0"/>
        <w:autoSpaceDN w:val="0"/>
        <w:adjustRightInd w:val="0"/>
        <w:spacing w:line="260" w:lineRule="atLeast"/>
        <w:rPr>
          <w:rFonts w:eastAsia="MS Mincho" w:cs="Arial"/>
          <w:color w:val="000000"/>
          <w:sz w:val="21"/>
          <w:szCs w:val="21"/>
          <w:lang w:val="de-CH"/>
        </w:rPr>
      </w:pPr>
      <w:r w:rsidRPr="000D7198">
        <w:rPr>
          <w:rFonts w:eastAsia="MS Mincho" w:cs="Arial"/>
          <w:color w:val="000000"/>
          <w:sz w:val="21"/>
          <w:szCs w:val="21"/>
          <w:lang w:val="de-CH"/>
        </w:rPr>
        <w:t>eingereicht.</w:t>
      </w:r>
    </w:p>
    <w:p w14:paraId="31E60FC1" w14:textId="77777777" w:rsidR="007F3F10" w:rsidRPr="000D7198" w:rsidRDefault="007F3F10" w:rsidP="000D7198">
      <w:pPr>
        <w:autoSpaceDE w:val="0"/>
        <w:autoSpaceDN w:val="0"/>
        <w:adjustRightInd w:val="0"/>
        <w:spacing w:line="260" w:lineRule="atLeast"/>
        <w:rPr>
          <w:rFonts w:eastAsia="MS Mincho" w:cs="Arial"/>
          <w:color w:val="000000"/>
          <w:sz w:val="21"/>
          <w:szCs w:val="21"/>
          <w:lang w:val="de-CH"/>
        </w:rPr>
      </w:pPr>
      <w:r w:rsidRPr="000D7198">
        <w:rPr>
          <w:rFonts w:eastAsia="MS Mincho" w:cs="Arial"/>
          <w:color w:val="000000"/>
          <w:sz w:val="21"/>
          <w:szCs w:val="21"/>
          <w:lang w:val="de-CH"/>
        </w:rPr>
        <w:t>Die Frist für die Einreichung eines Rekurses beträgt 14 Tage (Art. 47 VRP). Es gilt der Poststempel.</w:t>
      </w:r>
    </w:p>
    <w:p w14:paraId="61F7314F" w14:textId="77777777" w:rsidR="007F3F10" w:rsidRPr="000D7198" w:rsidRDefault="007F3F10" w:rsidP="000D7198">
      <w:pPr>
        <w:autoSpaceDE w:val="0"/>
        <w:autoSpaceDN w:val="0"/>
        <w:adjustRightInd w:val="0"/>
        <w:spacing w:line="260" w:lineRule="atLeast"/>
        <w:rPr>
          <w:rFonts w:eastAsia="MS Mincho" w:cs="Arial"/>
          <w:color w:val="000000"/>
          <w:sz w:val="21"/>
          <w:szCs w:val="21"/>
          <w:lang w:val="de-CH"/>
        </w:rPr>
      </w:pPr>
    </w:p>
    <w:p w14:paraId="632B8780" w14:textId="77777777" w:rsidR="007F3F10" w:rsidRPr="000D7198" w:rsidRDefault="007F3F10" w:rsidP="000D7198">
      <w:pPr>
        <w:autoSpaceDE w:val="0"/>
        <w:autoSpaceDN w:val="0"/>
        <w:adjustRightInd w:val="0"/>
        <w:spacing w:line="260" w:lineRule="atLeast"/>
        <w:rPr>
          <w:rFonts w:eastAsia="MS Mincho" w:cs="Arial"/>
          <w:b/>
          <w:bCs/>
          <w:color w:val="000000"/>
          <w:sz w:val="21"/>
          <w:szCs w:val="21"/>
          <w:lang w:val="de-CH"/>
        </w:rPr>
      </w:pPr>
      <w:r w:rsidRPr="000D7198">
        <w:rPr>
          <w:rFonts w:eastAsia="MS Mincho" w:cs="Arial"/>
          <w:b/>
          <w:bCs/>
          <w:color w:val="000000"/>
          <w:sz w:val="21"/>
          <w:szCs w:val="21"/>
          <w:lang w:val="de-CH"/>
        </w:rPr>
        <w:t>Rechtliches Gehör</w:t>
      </w:r>
    </w:p>
    <w:p w14:paraId="17FA379B" w14:textId="77777777" w:rsidR="007F3F10" w:rsidRPr="000D7198" w:rsidRDefault="007F3F10" w:rsidP="000D7198">
      <w:pPr>
        <w:autoSpaceDE w:val="0"/>
        <w:autoSpaceDN w:val="0"/>
        <w:adjustRightInd w:val="0"/>
        <w:spacing w:line="260" w:lineRule="atLeast"/>
        <w:rPr>
          <w:rFonts w:eastAsia="MS Mincho" w:cs="Arial"/>
          <w:color w:val="000000"/>
          <w:sz w:val="21"/>
          <w:szCs w:val="21"/>
          <w:lang w:val="de-CH"/>
        </w:rPr>
      </w:pPr>
      <w:r w:rsidRPr="000D7198">
        <w:rPr>
          <w:rFonts w:eastAsia="MS Mincho" w:cs="Arial"/>
          <w:color w:val="000000"/>
          <w:sz w:val="21"/>
          <w:szCs w:val="21"/>
          <w:lang w:val="de-CH"/>
        </w:rPr>
        <w:t>Um zu einer einvernehmlichen Regelung der fraglichen Sache zu gelangen (Art. 54 VRP) wird ein</w:t>
      </w:r>
    </w:p>
    <w:p w14:paraId="753403AE" w14:textId="77777777" w:rsidR="007F3F10" w:rsidRPr="000D7198" w:rsidRDefault="007F3F10" w:rsidP="000D7198">
      <w:pPr>
        <w:autoSpaceDE w:val="0"/>
        <w:autoSpaceDN w:val="0"/>
        <w:adjustRightInd w:val="0"/>
        <w:spacing w:line="260" w:lineRule="atLeast"/>
        <w:rPr>
          <w:rFonts w:eastAsia="MS Mincho" w:cs="Arial"/>
          <w:color w:val="000000"/>
          <w:sz w:val="21"/>
          <w:szCs w:val="21"/>
          <w:lang w:val="de-CH"/>
        </w:rPr>
      </w:pPr>
      <w:r w:rsidRPr="000D7198">
        <w:rPr>
          <w:rFonts w:eastAsia="MS Mincho" w:cs="Arial"/>
          <w:color w:val="000000"/>
          <w:sz w:val="21"/>
          <w:szCs w:val="21"/>
          <w:lang w:val="de-CH"/>
        </w:rPr>
        <w:t>Verständigungsversuch anberaumt.</w:t>
      </w:r>
    </w:p>
    <w:p w14:paraId="677E2A43" w14:textId="77777777" w:rsidR="007F3F10" w:rsidRPr="000D7198" w:rsidRDefault="007F3F10" w:rsidP="000D7198">
      <w:pPr>
        <w:autoSpaceDE w:val="0"/>
        <w:autoSpaceDN w:val="0"/>
        <w:adjustRightInd w:val="0"/>
        <w:spacing w:line="260" w:lineRule="atLeast"/>
        <w:rPr>
          <w:rFonts w:eastAsia="MS Mincho" w:cs="Arial"/>
          <w:color w:val="000000"/>
          <w:sz w:val="21"/>
          <w:szCs w:val="21"/>
          <w:lang w:val="de-CH"/>
        </w:rPr>
      </w:pPr>
      <w:r w:rsidRPr="000D7198">
        <w:rPr>
          <w:rFonts w:eastAsia="MS Mincho" w:cs="Arial"/>
          <w:color w:val="000000"/>
          <w:sz w:val="21"/>
          <w:szCs w:val="21"/>
          <w:lang w:val="de-CH"/>
        </w:rPr>
        <w:t>Wird nach dem rechtlichen Gehör der Rekurs aufrechterhalten, ist ein Kostenvorschuss gestützt auf</w:t>
      </w:r>
    </w:p>
    <w:p w14:paraId="6E283683" w14:textId="77777777" w:rsidR="007F3F10" w:rsidRPr="000D7198" w:rsidRDefault="007F3F10" w:rsidP="000D7198">
      <w:pPr>
        <w:autoSpaceDE w:val="0"/>
        <w:autoSpaceDN w:val="0"/>
        <w:adjustRightInd w:val="0"/>
        <w:spacing w:line="260" w:lineRule="atLeast"/>
        <w:rPr>
          <w:rFonts w:eastAsia="MS Mincho" w:cs="Arial"/>
          <w:color w:val="000000"/>
          <w:sz w:val="21"/>
          <w:szCs w:val="21"/>
          <w:lang w:val="de-CH"/>
        </w:rPr>
      </w:pPr>
      <w:r w:rsidRPr="000D7198">
        <w:rPr>
          <w:rFonts w:eastAsia="MS Mincho" w:cs="Arial"/>
          <w:color w:val="000000"/>
          <w:sz w:val="21"/>
          <w:szCs w:val="21"/>
          <w:lang w:val="de-CH"/>
        </w:rPr>
        <w:t>Art. 96 VRP und Ziff. 10.01 zu entrichten. Der Kostenvorschuss entspricht in der Regel der</w:t>
      </w:r>
    </w:p>
    <w:p w14:paraId="17C02831" w14:textId="77777777" w:rsidR="007F3F10" w:rsidRPr="000D7198" w:rsidRDefault="007F3F10" w:rsidP="000D7198">
      <w:pPr>
        <w:autoSpaceDE w:val="0"/>
        <w:autoSpaceDN w:val="0"/>
        <w:adjustRightInd w:val="0"/>
        <w:spacing w:line="260" w:lineRule="atLeast"/>
        <w:rPr>
          <w:rFonts w:eastAsia="MS Mincho" w:cs="Arial"/>
          <w:color w:val="FF5500"/>
          <w:sz w:val="21"/>
          <w:szCs w:val="21"/>
          <w:lang w:val="de-CH"/>
        </w:rPr>
      </w:pPr>
      <w:r w:rsidRPr="000D7198">
        <w:rPr>
          <w:rFonts w:eastAsia="MS Mincho" w:cs="Arial"/>
          <w:color w:val="000000"/>
          <w:sz w:val="21"/>
          <w:szCs w:val="21"/>
          <w:lang w:val="de-CH"/>
        </w:rPr>
        <w:t>Entscheidgebühr von CHF 500.–.</w:t>
      </w:r>
    </w:p>
    <w:p w14:paraId="41D2A928" w14:textId="77777777" w:rsidR="007F3F10" w:rsidRPr="000D7198" w:rsidRDefault="007F3F10" w:rsidP="000D7198">
      <w:pPr>
        <w:autoSpaceDE w:val="0"/>
        <w:autoSpaceDN w:val="0"/>
        <w:adjustRightInd w:val="0"/>
        <w:spacing w:line="260" w:lineRule="atLeast"/>
        <w:rPr>
          <w:rFonts w:eastAsia="MS Mincho" w:cs="Arial"/>
          <w:color w:val="FF5500"/>
          <w:sz w:val="21"/>
          <w:szCs w:val="21"/>
          <w:lang w:val="de-CH"/>
        </w:rPr>
      </w:pPr>
    </w:p>
    <w:p w14:paraId="49B036B4" w14:textId="77777777" w:rsidR="007F3F10" w:rsidRPr="000D7198" w:rsidRDefault="007F3F10" w:rsidP="000D7198">
      <w:pPr>
        <w:autoSpaceDE w:val="0"/>
        <w:autoSpaceDN w:val="0"/>
        <w:adjustRightInd w:val="0"/>
        <w:spacing w:line="260" w:lineRule="atLeast"/>
        <w:rPr>
          <w:rFonts w:eastAsia="MS Mincho" w:cs="Arial"/>
          <w:b/>
          <w:bCs/>
          <w:color w:val="000000"/>
          <w:sz w:val="21"/>
          <w:szCs w:val="21"/>
          <w:lang w:val="de-CH"/>
        </w:rPr>
      </w:pPr>
      <w:r w:rsidRPr="000D7198">
        <w:rPr>
          <w:rFonts w:eastAsia="MS Mincho" w:cs="Arial"/>
          <w:b/>
          <w:bCs/>
          <w:color w:val="000000"/>
          <w:sz w:val="21"/>
          <w:szCs w:val="21"/>
          <w:lang w:val="de-CH"/>
        </w:rPr>
        <w:t>Stellungnahme Vorinstanz</w:t>
      </w:r>
    </w:p>
    <w:p w14:paraId="082F62B3" w14:textId="77777777" w:rsidR="007F3F10" w:rsidRPr="000D7198" w:rsidRDefault="007F3F10" w:rsidP="000D7198">
      <w:pPr>
        <w:autoSpaceDE w:val="0"/>
        <w:autoSpaceDN w:val="0"/>
        <w:adjustRightInd w:val="0"/>
        <w:spacing w:line="260" w:lineRule="atLeast"/>
        <w:rPr>
          <w:rFonts w:eastAsia="MS Mincho" w:cs="Arial"/>
          <w:color w:val="000000"/>
          <w:sz w:val="21"/>
          <w:szCs w:val="21"/>
          <w:lang w:val="de-CH"/>
        </w:rPr>
      </w:pPr>
      <w:r w:rsidRPr="000D7198">
        <w:rPr>
          <w:rFonts w:eastAsia="MS Mincho" w:cs="Arial"/>
          <w:color w:val="000000"/>
          <w:sz w:val="21"/>
          <w:szCs w:val="21"/>
          <w:lang w:val="de-CH"/>
        </w:rPr>
        <w:t>Sobald der Kostenvorschuss eingetroffen ist, fordert die Rekursinstanz die Vorinstanz auf, die</w:t>
      </w:r>
    </w:p>
    <w:p w14:paraId="1CEA0F32" w14:textId="77777777" w:rsidR="007F3F10" w:rsidRPr="000D7198" w:rsidRDefault="007F3F10" w:rsidP="000D7198">
      <w:pPr>
        <w:autoSpaceDE w:val="0"/>
        <w:autoSpaceDN w:val="0"/>
        <w:adjustRightInd w:val="0"/>
        <w:spacing w:line="260" w:lineRule="atLeast"/>
        <w:rPr>
          <w:rFonts w:eastAsia="MS Mincho" w:cs="Arial"/>
          <w:color w:val="000000"/>
          <w:sz w:val="21"/>
          <w:szCs w:val="21"/>
          <w:lang w:val="de-CH"/>
        </w:rPr>
      </w:pPr>
      <w:r w:rsidRPr="000D7198">
        <w:rPr>
          <w:rFonts w:eastAsia="MS Mincho" w:cs="Arial"/>
          <w:color w:val="000000"/>
          <w:sz w:val="21"/>
          <w:szCs w:val="21"/>
          <w:lang w:val="de-CH"/>
        </w:rPr>
        <w:t>Vorakten sowie eine Stellungnahme einzureichen (Art. 52 VRP). Der Rekur</w:t>
      </w:r>
      <w:r w:rsidRPr="000D7198">
        <w:rPr>
          <w:rFonts w:ascii="ArialMT" w:eastAsia="MS Mincho" w:hAnsi="ArialMT" w:cs="ArialMT"/>
          <w:color w:val="000000"/>
          <w:sz w:val="21"/>
          <w:szCs w:val="21"/>
          <w:lang w:val="de-CH"/>
        </w:rPr>
        <w:t>r</w:t>
      </w:r>
      <w:r w:rsidRPr="000D7198">
        <w:rPr>
          <w:rFonts w:eastAsia="MS Mincho" w:cs="Arial"/>
          <w:color w:val="000000"/>
          <w:sz w:val="21"/>
          <w:szCs w:val="21"/>
          <w:lang w:val="de-CH"/>
        </w:rPr>
        <w:t>ent hat das Recht der</w:t>
      </w:r>
    </w:p>
    <w:p w14:paraId="5A55C468" w14:textId="77777777" w:rsidR="007F3F10" w:rsidRPr="000D7198" w:rsidRDefault="007F3F10" w:rsidP="000D7198">
      <w:pPr>
        <w:autoSpaceDE w:val="0"/>
        <w:autoSpaceDN w:val="0"/>
        <w:adjustRightInd w:val="0"/>
        <w:spacing w:line="260" w:lineRule="atLeast"/>
        <w:rPr>
          <w:rFonts w:eastAsia="MS Mincho" w:cs="Arial"/>
          <w:color w:val="000000"/>
          <w:sz w:val="21"/>
          <w:szCs w:val="21"/>
          <w:lang w:val="de-CH"/>
        </w:rPr>
      </w:pPr>
      <w:r w:rsidRPr="000D7198">
        <w:rPr>
          <w:rFonts w:eastAsia="MS Mincho" w:cs="Arial"/>
          <w:color w:val="000000"/>
          <w:sz w:val="21"/>
          <w:szCs w:val="21"/>
          <w:lang w:val="de-CH"/>
        </w:rPr>
        <w:t>Einsichtnahme. Die Parteien müssen Kenntnis haben von den Grundlagen (Akten, Stellungnahmen),</w:t>
      </w:r>
    </w:p>
    <w:p w14:paraId="275CC26B" w14:textId="77777777" w:rsidR="007F3F10" w:rsidRPr="000D7198" w:rsidRDefault="007F3F10" w:rsidP="000D7198">
      <w:pPr>
        <w:autoSpaceDE w:val="0"/>
        <w:autoSpaceDN w:val="0"/>
        <w:adjustRightInd w:val="0"/>
        <w:spacing w:line="260" w:lineRule="atLeast"/>
        <w:rPr>
          <w:rFonts w:eastAsia="MS Mincho" w:cs="Arial"/>
          <w:color w:val="000000"/>
          <w:sz w:val="21"/>
          <w:szCs w:val="21"/>
          <w:lang w:val="de-CH"/>
        </w:rPr>
      </w:pPr>
      <w:r w:rsidRPr="000D7198">
        <w:rPr>
          <w:rFonts w:eastAsia="MS Mincho" w:cs="Arial"/>
          <w:color w:val="000000"/>
          <w:sz w:val="21"/>
          <w:szCs w:val="21"/>
          <w:lang w:val="de-CH"/>
        </w:rPr>
        <w:t>auf welchen sich der Rekursentscheid abstützt.</w:t>
      </w:r>
    </w:p>
    <w:p w14:paraId="2C9B4748" w14:textId="77777777" w:rsidR="007F3F10" w:rsidRPr="000D7198" w:rsidRDefault="007F3F10" w:rsidP="000D7198">
      <w:pPr>
        <w:autoSpaceDE w:val="0"/>
        <w:autoSpaceDN w:val="0"/>
        <w:adjustRightInd w:val="0"/>
        <w:spacing w:line="260" w:lineRule="atLeast"/>
        <w:rPr>
          <w:rFonts w:eastAsia="MS Mincho" w:cs="Arial"/>
          <w:color w:val="000000"/>
          <w:sz w:val="21"/>
          <w:szCs w:val="21"/>
          <w:lang w:val="de-CH"/>
        </w:rPr>
      </w:pPr>
      <w:r w:rsidRPr="000D7198">
        <w:rPr>
          <w:rFonts w:eastAsia="MS Mincho" w:cs="Arial"/>
          <w:color w:val="000000"/>
          <w:sz w:val="21"/>
          <w:szCs w:val="21"/>
          <w:lang w:val="de-CH"/>
        </w:rPr>
        <w:t xml:space="preserve">Wenn sich die </w:t>
      </w:r>
      <w:r w:rsidRPr="000D7198">
        <w:rPr>
          <w:rFonts w:eastAsia="MS Mincho" w:cs="Arial"/>
          <w:sz w:val="21"/>
          <w:szCs w:val="21"/>
          <w:lang w:val="de-CH"/>
        </w:rPr>
        <w:t>Rekursinstanz n</w:t>
      </w:r>
      <w:r w:rsidRPr="000D7198">
        <w:rPr>
          <w:rFonts w:eastAsia="MS Mincho" w:cs="Arial"/>
          <w:color w:val="000000"/>
          <w:sz w:val="21"/>
          <w:szCs w:val="21"/>
          <w:lang w:val="de-CH"/>
        </w:rPr>
        <w:t>ach Abschluss des Schriftenwechsels noch kein zuverlässiges Bild des Sachverhalts machen kann, dürfen und sollen weitere Abklärungen getroffen werden (Art. 12 VRP). Entsprechende Unterlagen sind wiederum beiden Parteien (Rekurrent und Vorinstanz) zur</w:t>
      </w:r>
    </w:p>
    <w:p w14:paraId="5C0A68C6" w14:textId="77777777" w:rsidR="007F3F10" w:rsidRPr="000D7198" w:rsidRDefault="007F3F10" w:rsidP="000D7198">
      <w:pPr>
        <w:autoSpaceDE w:val="0"/>
        <w:autoSpaceDN w:val="0"/>
        <w:adjustRightInd w:val="0"/>
        <w:spacing w:line="260" w:lineRule="atLeast"/>
        <w:rPr>
          <w:rFonts w:eastAsia="MS Mincho" w:cs="Arial"/>
          <w:color w:val="000000"/>
          <w:sz w:val="21"/>
          <w:szCs w:val="21"/>
          <w:lang w:val="de-CH"/>
        </w:rPr>
      </w:pPr>
      <w:r w:rsidRPr="000D7198">
        <w:rPr>
          <w:rFonts w:eastAsia="MS Mincho" w:cs="Arial"/>
          <w:color w:val="000000"/>
          <w:sz w:val="21"/>
          <w:szCs w:val="21"/>
          <w:lang w:val="de-CH"/>
        </w:rPr>
        <w:t>Stellungnahme innert Frist zuzustellen.</w:t>
      </w:r>
    </w:p>
    <w:p w14:paraId="1662690C" w14:textId="77777777" w:rsidR="007F3F10" w:rsidRPr="000D7198" w:rsidRDefault="007F3F10" w:rsidP="000D7198">
      <w:pPr>
        <w:autoSpaceDE w:val="0"/>
        <w:autoSpaceDN w:val="0"/>
        <w:adjustRightInd w:val="0"/>
        <w:spacing w:line="260" w:lineRule="atLeast"/>
        <w:rPr>
          <w:rFonts w:eastAsia="MS Mincho" w:cs="Arial"/>
          <w:color w:val="000000"/>
          <w:sz w:val="21"/>
          <w:szCs w:val="21"/>
          <w:lang w:val="de-CH"/>
        </w:rPr>
      </w:pPr>
    </w:p>
    <w:p w14:paraId="5864A12A" w14:textId="77777777" w:rsidR="007F3F10" w:rsidRPr="000D7198" w:rsidRDefault="007F3F10" w:rsidP="000D7198">
      <w:pPr>
        <w:autoSpaceDE w:val="0"/>
        <w:autoSpaceDN w:val="0"/>
        <w:adjustRightInd w:val="0"/>
        <w:spacing w:line="260" w:lineRule="atLeast"/>
        <w:rPr>
          <w:rFonts w:eastAsia="MS Mincho" w:cs="Arial"/>
          <w:b/>
          <w:bCs/>
          <w:sz w:val="21"/>
          <w:szCs w:val="21"/>
          <w:lang w:val="de-CH"/>
        </w:rPr>
      </w:pPr>
      <w:r w:rsidRPr="000D7198">
        <w:rPr>
          <w:rFonts w:eastAsia="MS Mincho" w:cs="Arial"/>
          <w:b/>
          <w:bCs/>
          <w:sz w:val="21"/>
          <w:szCs w:val="21"/>
          <w:lang w:val="de-CH"/>
        </w:rPr>
        <w:t>Abschluss des Verfahrens</w:t>
      </w:r>
    </w:p>
    <w:p w14:paraId="27879DC1" w14:textId="77777777" w:rsidR="007F3F10" w:rsidRPr="000D7198" w:rsidRDefault="007F3F10" w:rsidP="000D7198">
      <w:pPr>
        <w:autoSpaceDE w:val="0"/>
        <w:autoSpaceDN w:val="0"/>
        <w:adjustRightInd w:val="0"/>
        <w:spacing w:line="260" w:lineRule="atLeast"/>
        <w:rPr>
          <w:rFonts w:eastAsia="MS Mincho" w:cs="Arial"/>
          <w:color w:val="000000"/>
          <w:sz w:val="21"/>
          <w:szCs w:val="21"/>
          <w:lang w:val="de-CH"/>
        </w:rPr>
      </w:pPr>
      <w:r w:rsidRPr="000D7198">
        <w:rPr>
          <w:rFonts w:eastAsia="MS Mincho" w:cs="Arial"/>
          <w:color w:val="000000"/>
          <w:sz w:val="21"/>
          <w:szCs w:val="21"/>
          <w:lang w:val="de-CH"/>
        </w:rPr>
        <w:t>Wird der Rekurs geschützt, erhält der Rekurrent den Kostenvorschuss zurückvergütet. Bei einer</w:t>
      </w:r>
    </w:p>
    <w:p w14:paraId="18BBB242" w14:textId="77777777" w:rsidR="007F3F10" w:rsidRPr="000D7198" w:rsidRDefault="007F3F10" w:rsidP="000D7198">
      <w:pPr>
        <w:autoSpaceDE w:val="0"/>
        <w:autoSpaceDN w:val="0"/>
        <w:adjustRightInd w:val="0"/>
        <w:spacing w:line="260" w:lineRule="atLeast"/>
        <w:rPr>
          <w:rFonts w:eastAsia="MS Mincho" w:cs="Arial"/>
          <w:color w:val="000000"/>
          <w:sz w:val="21"/>
          <w:szCs w:val="21"/>
          <w:lang w:val="de-CH"/>
        </w:rPr>
      </w:pPr>
      <w:r w:rsidRPr="000D7198">
        <w:rPr>
          <w:rFonts w:eastAsia="MS Mincho" w:cs="Arial"/>
          <w:color w:val="000000"/>
          <w:sz w:val="21"/>
          <w:szCs w:val="21"/>
          <w:lang w:val="de-CH"/>
        </w:rPr>
        <w:t>Ablehnung des Rekurses wird der Kostenvorschuss als Entscheidgebühr einbehalten.</w:t>
      </w:r>
    </w:p>
    <w:p w14:paraId="73B249D7" w14:textId="77777777" w:rsidR="007F3F10" w:rsidRPr="000D7198" w:rsidRDefault="007F3F10" w:rsidP="000D7198">
      <w:pPr>
        <w:autoSpaceDE w:val="0"/>
        <w:autoSpaceDN w:val="0"/>
        <w:adjustRightInd w:val="0"/>
        <w:spacing w:line="260" w:lineRule="atLeast"/>
        <w:rPr>
          <w:rFonts w:eastAsia="MS Mincho" w:cs="Arial"/>
          <w:color w:val="000000"/>
          <w:sz w:val="21"/>
          <w:szCs w:val="21"/>
          <w:lang w:val="de-CH"/>
        </w:rPr>
      </w:pPr>
      <w:r w:rsidRPr="000D7198">
        <w:rPr>
          <w:rFonts w:eastAsia="MS Mincho" w:cs="Arial"/>
          <w:color w:val="000000"/>
          <w:sz w:val="21"/>
          <w:szCs w:val="21"/>
          <w:lang w:val="de-CH"/>
        </w:rPr>
        <w:t>Lässt der Rekurrent während des Verfahrens gesetzte Fristen ungenutzt verstreichen, wird der</w:t>
      </w:r>
    </w:p>
    <w:p w14:paraId="19C7C255" w14:textId="77777777" w:rsidR="007F3F10" w:rsidRPr="000D7198" w:rsidRDefault="007F3F10" w:rsidP="000D7198">
      <w:pPr>
        <w:autoSpaceDE w:val="0"/>
        <w:autoSpaceDN w:val="0"/>
        <w:adjustRightInd w:val="0"/>
        <w:spacing w:line="260" w:lineRule="atLeast"/>
        <w:rPr>
          <w:rFonts w:eastAsia="MS Mincho" w:cs="Arial"/>
          <w:color w:val="000000"/>
          <w:sz w:val="21"/>
          <w:szCs w:val="21"/>
          <w:lang w:val="de-CH"/>
        </w:rPr>
      </w:pPr>
      <w:r w:rsidRPr="000D7198">
        <w:rPr>
          <w:rFonts w:eastAsia="MS Mincho" w:cs="Arial"/>
          <w:color w:val="000000"/>
          <w:sz w:val="21"/>
          <w:szCs w:val="21"/>
          <w:lang w:val="de-CH"/>
        </w:rPr>
        <w:t>Rekurs abgeschrieben.</w:t>
      </w:r>
    </w:p>
    <w:p w14:paraId="1F76E8DC" w14:textId="77777777" w:rsidR="007F3F10" w:rsidRPr="000D7198" w:rsidRDefault="007F3F10" w:rsidP="000D7198">
      <w:pPr>
        <w:autoSpaceDE w:val="0"/>
        <w:autoSpaceDN w:val="0"/>
        <w:adjustRightInd w:val="0"/>
        <w:spacing w:line="260" w:lineRule="atLeast"/>
        <w:rPr>
          <w:rFonts w:eastAsia="MS Mincho" w:cs="Arial"/>
          <w:sz w:val="21"/>
          <w:szCs w:val="21"/>
          <w:lang w:val="de-CH"/>
        </w:rPr>
      </w:pPr>
    </w:p>
    <w:p w14:paraId="2FCFF951" w14:textId="77777777" w:rsidR="00897DE2" w:rsidRPr="000D7198" w:rsidRDefault="00897DE2" w:rsidP="000D7198">
      <w:pPr>
        <w:autoSpaceDE w:val="0"/>
        <w:autoSpaceDN w:val="0"/>
        <w:adjustRightInd w:val="0"/>
        <w:spacing w:line="260" w:lineRule="atLeast"/>
        <w:rPr>
          <w:rFonts w:eastAsia="MS Mincho" w:cs="Arial"/>
          <w:sz w:val="21"/>
          <w:szCs w:val="21"/>
          <w:lang w:val="de-CH"/>
        </w:rPr>
      </w:pPr>
    </w:p>
    <w:p w14:paraId="589C7782" w14:textId="77777777" w:rsidR="00897DE2" w:rsidRPr="000D7198" w:rsidRDefault="00897DE2" w:rsidP="000D7198">
      <w:pPr>
        <w:autoSpaceDE w:val="0"/>
        <w:autoSpaceDN w:val="0"/>
        <w:adjustRightInd w:val="0"/>
        <w:spacing w:line="260" w:lineRule="atLeast"/>
        <w:rPr>
          <w:rFonts w:eastAsia="MS Mincho" w:cs="Arial"/>
          <w:sz w:val="21"/>
          <w:szCs w:val="21"/>
          <w:lang w:val="de-CH"/>
        </w:rPr>
      </w:pPr>
    </w:p>
    <w:p w14:paraId="05A1A353" w14:textId="2CEDA09D" w:rsidR="007F3F10" w:rsidRPr="000D7198" w:rsidRDefault="007F3F10" w:rsidP="000D7198">
      <w:pPr>
        <w:autoSpaceDE w:val="0"/>
        <w:autoSpaceDN w:val="0"/>
        <w:adjustRightInd w:val="0"/>
        <w:spacing w:line="260" w:lineRule="atLeast"/>
        <w:rPr>
          <w:rFonts w:eastAsia="MS Mincho" w:cs="Arial"/>
          <w:sz w:val="21"/>
          <w:szCs w:val="21"/>
          <w:lang w:val="de-CH"/>
        </w:rPr>
      </w:pPr>
      <w:r w:rsidRPr="000D7198">
        <w:rPr>
          <w:rFonts w:eastAsia="MS Mincho" w:cs="Arial"/>
          <w:sz w:val="21"/>
          <w:szCs w:val="21"/>
          <w:lang w:val="de-CH"/>
        </w:rPr>
        <w:t xml:space="preserve">Rektorat, </w:t>
      </w:r>
      <w:r w:rsidR="00702E52">
        <w:rPr>
          <w:rFonts w:eastAsia="MS Mincho" w:cs="Arial"/>
          <w:sz w:val="21"/>
          <w:szCs w:val="21"/>
          <w:lang w:val="de-CH"/>
        </w:rPr>
        <w:t xml:space="preserve">23. April </w:t>
      </w:r>
      <w:r w:rsidRPr="000D7198">
        <w:rPr>
          <w:rFonts w:eastAsia="MS Mincho" w:cs="Arial"/>
          <w:sz w:val="21"/>
          <w:szCs w:val="21"/>
          <w:lang w:val="de-CH"/>
        </w:rPr>
        <w:t>2021</w:t>
      </w:r>
    </w:p>
    <w:p w14:paraId="25036C9D" w14:textId="77777777" w:rsidR="00EC2393" w:rsidRPr="000D7198" w:rsidRDefault="00EC2393" w:rsidP="000D7198">
      <w:pPr>
        <w:spacing w:line="260" w:lineRule="atLeast"/>
        <w:rPr>
          <w:rFonts w:cs="Arial"/>
          <w:sz w:val="21"/>
          <w:szCs w:val="21"/>
        </w:rPr>
      </w:pPr>
    </w:p>
    <w:sectPr w:rsidR="00EC2393" w:rsidRPr="000D7198" w:rsidSect="007D2771">
      <w:headerReference w:type="default" r:id="rId8"/>
      <w:footerReference w:type="default" r:id="rId9"/>
      <w:pgSz w:w="11906" w:h="16838" w:code="9"/>
      <w:pgMar w:top="2268" w:right="851" w:bottom="1219" w:left="170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51D199" w14:textId="77777777" w:rsidR="00AA23D6" w:rsidRDefault="00AA23D6">
      <w:r>
        <w:separator/>
      </w:r>
    </w:p>
  </w:endnote>
  <w:endnote w:type="continuationSeparator" w:id="0">
    <w:p w14:paraId="6460693B" w14:textId="77777777" w:rsidR="00AA23D6" w:rsidRDefault="00AA23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BS Fago Pro">
    <w:altName w:val="Franklin Gothic Medium Cond"/>
    <w:panose1 w:val="00000000000000000000"/>
    <w:charset w:val="00"/>
    <w:family w:val="modern"/>
    <w:notTrueType/>
    <w:pitch w:val="variable"/>
    <w:sig w:usb0="A00000FF" w:usb1="4000387B" w:usb2="00000000" w:usb3="00000000" w:csb0="00000093" w:csb1="00000000"/>
  </w:font>
  <w:font w:name="Calibri">
    <w:panose1 w:val="020F0502020204030204"/>
    <w:charset w:val="00"/>
    <w:family w:val="swiss"/>
    <w:pitch w:val="variable"/>
    <w:sig w:usb0="E4002EFF" w:usb1="C000247B" w:usb2="00000009" w:usb3="00000000" w:csb0="000001FF" w:csb1="00000000"/>
  </w:font>
  <w:font w:name="Helv">
    <w:panose1 w:val="020B0604020202030204"/>
    <w:charset w:val="00"/>
    <w:family w:val="swiss"/>
    <w:notTrueType/>
    <w:pitch w:val="variable"/>
    <w:sig w:usb0="00000003" w:usb1="00000000" w:usb2="00000000" w:usb3="00000000" w:csb0="00000001" w:csb1="00000000"/>
  </w:font>
  <w:font w:name="ArialMT">
    <w:altName w:val="Arial"/>
    <w:panose1 w:val="00000000000000000000"/>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34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73"/>
      <w:gridCol w:w="3256"/>
      <w:gridCol w:w="1417"/>
    </w:tblGrid>
    <w:tr w:rsidR="00DA4C1F" w:rsidRPr="00BC2BE8" w14:paraId="53A5FAB9" w14:textId="77777777" w:rsidTr="00F828A7">
      <w:trPr>
        <w:trHeight w:val="283"/>
      </w:trPr>
      <w:tc>
        <w:tcPr>
          <w:tcW w:w="792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hideMark/>
        </w:tcPr>
        <w:p w14:paraId="18CA5A2C" w14:textId="65F398F2" w:rsidR="00DA4C1F" w:rsidRPr="007A4F2E" w:rsidRDefault="00DA4C1F" w:rsidP="00897DE2">
          <w:pPr>
            <w:pStyle w:val="Fuzeile"/>
            <w:spacing w:before="40" w:after="40"/>
            <w:ind w:firstLine="136"/>
            <w:rPr>
              <w:rFonts w:cs="Arial"/>
              <w:sz w:val="14"/>
              <w:szCs w:val="14"/>
            </w:rPr>
          </w:pPr>
          <w:r>
            <w:rPr>
              <w:rFonts w:cs="Arial"/>
              <w:sz w:val="14"/>
              <w:szCs w:val="14"/>
            </w:rPr>
            <w:t>E</w:t>
          </w:r>
          <w:r w:rsidR="00897DE2">
            <w:rPr>
              <w:rFonts w:cs="Arial"/>
              <w:sz w:val="14"/>
              <w:szCs w:val="14"/>
            </w:rPr>
            <w:t xml:space="preserve">rstellt: </w:t>
          </w:r>
          <w:r w:rsidR="00702E52">
            <w:rPr>
              <w:rFonts w:cs="Arial"/>
              <w:sz w:val="14"/>
              <w:szCs w:val="14"/>
            </w:rPr>
            <w:t xml:space="preserve">23. April </w:t>
          </w:r>
          <w:r>
            <w:rPr>
              <w:rFonts w:cs="Arial"/>
              <w:sz w:val="14"/>
              <w:szCs w:val="14"/>
            </w:rPr>
            <w:t>2021</w:t>
          </w:r>
        </w:p>
      </w:tc>
      <w:tc>
        <w:tcPr>
          <w:tcW w:w="141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hideMark/>
        </w:tcPr>
        <w:p w14:paraId="25F21896" w14:textId="77777777" w:rsidR="00DA4C1F" w:rsidRPr="007A4F2E" w:rsidRDefault="00DA4C1F" w:rsidP="00DA4C1F">
          <w:pPr>
            <w:pStyle w:val="Fuzeile"/>
            <w:spacing w:before="40"/>
            <w:ind w:right="132"/>
            <w:jc w:val="right"/>
            <w:rPr>
              <w:rFonts w:cs="Arial"/>
              <w:sz w:val="14"/>
              <w:szCs w:val="14"/>
            </w:rPr>
          </w:pPr>
          <w:r w:rsidRPr="007A4F2E">
            <w:rPr>
              <w:rFonts w:cs="Arial"/>
              <w:sz w:val="14"/>
              <w:szCs w:val="14"/>
            </w:rPr>
            <w:t xml:space="preserve">Seite </w:t>
          </w:r>
          <w:r w:rsidRPr="007A4F2E">
            <w:rPr>
              <w:rFonts w:cs="Arial"/>
              <w:sz w:val="14"/>
              <w:szCs w:val="14"/>
            </w:rPr>
            <w:fldChar w:fldCharType="begin"/>
          </w:r>
          <w:r w:rsidRPr="007A4F2E">
            <w:rPr>
              <w:rFonts w:cs="Arial"/>
              <w:sz w:val="14"/>
              <w:szCs w:val="14"/>
            </w:rPr>
            <w:instrText>PAGE  \* Arabic  \* MERGEFORMAT</w:instrText>
          </w:r>
          <w:r w:rsidRPr="007A4F2E">
            <w:rPr>
              <w:rFonts w:cs="Arial"/>
              <w:sz w:val="14"/>
              <w:szCs w:val="14"/>
            </w:rPr>
            <w:fldChar w:fldCharType="separate"/>
          </w:r>
          <w:r w:rsidR="00897DE2">
            <w:rPr>
              <w:rFonts w:cs="Arial"/>
              <w:noProof/>
              <w:sz w:val="14"/>
              <w:szCs w:val="14"/>
            </w:rPr>
            <w:t>2</w:t>
          </w:r>
          <w:r w:rsidRPr="007A4F2E">
            <w:rPr>
              <w:rFonts w:cs="Arial"/>
              <w:sz w:val="14"/>
              <w:szCs w:val="14"/>
            </w:rPr>
            <w:fldChar w:fldCharType="end"/>
          </w:r>
          <w:r w:rsidRPr="007A4F2E">
            <w:rPr>
              <w:rFonts w:cs="Arial"/>
              <w:sz w:val="14"/>
              <w:szCs w:val="14"/>
            </w:rPr>
            <w:t xml:space="preserve"> von </w:t>
          </w:r>
          <w:r w:rsidRPr="007A4F2E">
            <w:rPr>
              <w:rFonts w:cs="Arial"/>
              <w:sz w:val="14"/>
              <w:szCs w:val="14"/>
            </w:rPr>
            <w:fldChar w:fldCharType="begin"/>
          </w:r>
          <w:r w:rsidRPr="007A4F2E">
            <w:rPr>
              <w:rFonts w:cs="Arial"/>
              <w:sz w:val="14"/>
              <w:szCs w:val="14"/>
            </w:rPr>
            <w:instrText>NUMPAGES  \* Arabic  \* MERGEFORMAT</w:instrText>
          </w:r>
          <w:r w:rsidRPr="007A4F2E">
            <w:rPr>
              <w:rFonts w:cs="Arial"/>
              <w:sz w:val="14"/>
              <w:szCs w:val="14"/>
            </w:rPr>
            <w:fldChar w:fldCharType="separate"/>
          </w:r>
          <w:r w:rsidR="00897DE2">
            <w:rPr>
              <w:rFonts w:cs="Arial"/>
              <w:noProof/>
              <w:sz w:val="14"/>
              <w:szCs w:val="14"/>
            </w:rPr>
            <w:t>2</w:t>
          </w:r>
          <w:r w:rsidRPr="007A4F2E">
            <w:rPr>
              <w:rFonts w:cs="Arial"/>
              <w:noProof/>
              <w:sz w:val="14"/>
              <w:szCs w:val="14"/>
            </w:rPr>
            <w:fldChar w:fldCharType="end"/>
          </w:r>
        </w:p>
      </w:tc>
    </w:tr>
    <w:tr w:rsidR="00DA4C1F" w:rsidRPr="00BC2BE8" w14:paraId="510F419C" w14:textId="77777777" w:rsidTr="00F828A7">
      <w:trPr>
        <w:trHeight w:val="283"/>
      </w:trPr>
      <w:tc>
        <w:tcPr>
          <w:tcW w:w="467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219068F2" w14:textId="77777777" w:rsidR="00DA4C1F" w:rsidRPr="007A4F2E" w:rsidRDefault="00DA4C1F" w:rsidP="007F3F10">
          <w:pPr>
            <w:pStyle w:val="Fuzeile"/>
            <w:tabs>
              <w:tab w:val="left" w:pos="680"/>
              <w:tab w:val="left" w:pos="1360"/>
              <w:tab w:val="left" w:pos="2858"/>
            </w:tabs>
            <w:spacing w:before="40" w:after="40"/>
            <w:ind w:left="-6" w:firstLine="144"/>
            <w:rPr>
              <w:rFonts w:cs="Arial"/>
              <w:sz w:val="14"/>
              <w:szCs w:val="14"/>
            </w:rPr>
          </w:pPr>
          <w:r w:rsidRPr="007A4F2E">
            <w:rPr>
              <w:rFonts w:cs="Arial"/>
              <w:sz w:val="14"/>
              <w:szCs w:val="14"/>
            </w:rPr>
            <w:t>Autor:</w:t>
          </w:r>
          <w:r w:rsidRPr="007A4F2E">
            <w:rPr>
              <w:rFonts w:cs="Arial"/>
              <w:sz w:val="14"/>
              <w:szCs w:val="14"/>
            </w:rPr>
            <w:tab/>
          </w:r>
          <w:r w:rsidR="007F3F10">
            <w:rPr>
              <w:rFonts w:cs="Arial"/>
              <w:sz w:val="14"/>
              <w:szCs w:val="14"/>
            </w:rPr>
            <w:t>Rektorat</w:t>
          </w:r>
        </w:p>
      </w:tc>
      <w:tc>
        <w:tcPr>
          <w:tcW w:w="4673" w:type="dxa"/>
          <w:gridSpan w:val="2"/>
          <w:tcBorders>
            <w:top w:val="single" w:sz="4" w:space="0" w:color="auto"/>
            <w:left w:val="single" w:sz="4" w:space="0" w:color="auto"/>
            <w:bottom w:val="single" w:sz="4" w:space="0" w:color="auto"/>
            <w:right w:val="single" w:sz="4" w:space="0" w:color="auto"/>
          </w:tcBorders>
          <w:shd w:val="clear" w:color="auto" w:fill="auto"/>
        </w:tcPr>
        <w:p w14:paraId="3C16C84F" w14:textId="0BAB6B17" w:rsidR="00DA4C1F" w:rsidRPr="007A4F2E" w:rsidRDefault="000D7198" w:rsidP="00DA4C1F">
          <w:pPr>
            <w:pStyle w:val="Fuzeile"/>
            <w:spacing w:before="40" w:after="40"/>
            <w:ind w:left="-6" w:right="32"/>
            <w:jc w:val="right"/>
            <w:rPr>
              <w:rFonts w:cs="Arial"/>
              <w:sz w:val="14"/>
              <w:szCs w:val="14"/>
            </w:rPr>
          </w:pPr>
          <w:r>
            <w:rPr>
              <w:rFonts w:cs="Arial"/>
              <w:sz w:val="14"/>
              <w:szCs w:val="14"/>
            </w:rPr>
            <w:fldChar w:fldCharType="begin"/>
          </w:r>
          <w:r>
            <w:rPr>
              <w:rFonts w:cs="Arial"/>
              <w:sz w:val="14"/>
              <w:szCs w:val="14"/>
            </w:rPr>
            <w:instrText xml:space="preserve"> FILENAME \p \* MERGEFORMAT </w:instrText>
          </w:r>
          <w:r>
            <w:rPr>
              <w:rFonts w:cs="Arial"/>
              <w:sz w:val="14"/>
              <w:szCs w:val="14"/>
            </w:rPr>
            <w:fldChar w:fldCharType="separate"/>
          </w:r>
          <w:r w:rsidR="005C2962">
            <w:rPr>
              <w:rFonts w:cs="Arial"/>
              <w:noProof/>
              <w:sz w:val="14"/>
              <w:szCs w:val="14"/>
            </w:rPr>
            <w:t>V:\GBS\ISO Ueberarbeitung\3 Weiterbildung\3239 Rechtsmittelbelehrung.docx</w:t>
          </w:r>
          <w:r>
            <w:rPr>
              <w:rFonts w:cs="Arial"/>
              <w:sz w:val="14"/>
              <w:szCs w:val="14"/>
            </w:rPr>
            <w:fldChar w:fldCharType="end"/>
          </w:r>
        </w:p>
      </w:tc>
    </w:tr>
  </w:tbl>
  <w:p w14:paraId="5154DF61" w14:textId="77777777" w:rsidR="00DA4C1F" w:rsidRPr="00DA4C1F" w:rsidRDefault="00DA4C1F" w:rsidP="00DA4C1F">
    <w:pPr>
      <w:pStyle w:val="Fuzeile"/>
      <w:rPr>
        <w:sz w:val="10"/>
        <w:szCs w:val="1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F6A8520" w14:textId="77777777" w:rsidR="00AA23D6" w:rsidRDefault="00AA23D6">
      <w:r>
        <w:separator/>
      </w:r>
    </w:p>
  </w:footnote>
  <w:footnote w:type="continuationSeparator" w:id="0">
    <w:p w14:paraId="0449F96A" w14:textId="77777777" w:rsidR="00AA23D6" w:rsidRDefault="00AA23D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51E323" w14:textId="77777777" w:rsidR="00DA4C1F" w:rsidRDefault="00DA4C1F" w:rsidP="00DA4C1F">
    <w:pPr>
      <w:pStyle w:val="Kopfzeile"/>
      <w:tabs>
        <w:tab w:val="right" w:pos="9356"/>
      </w:tabs>
      <w:spacing w:after="160"/>
      <w:rPr>
        <w:b/>
        <w:sz w:val="24"/>
        <w:szCs w:val="24"/>
      </w:rPr>
    </w:pPr>
    <w:r w:rsidRPr="007A4F2E">
      <w:rPr>
        <w:noProof/>
        <w:lang w:val="de-CH" w:eastAsia="de-CH"/>
      </w:rPr>
      <w:drawing>
        <wp:inline distT="0" distB="0" distL="0" distR="0" wp14:anchorId="3A553514" wp14:editId="71E21695">
          <wp:extent cx="2628900" cy="447040"/>
          <wp:effectExtent l="0" t="0" r="0" b="0"/>
          <wp:docPr id="1" name="Grafik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3"/>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28900" cy="447040"/>
                  </a:xfrm>
                  <a:prstGeom prst="rect">
                    <a:avLst/>
                  </a:prstGeom>
                  <a:noFill/>
                  <a:ln>
                    <a:noFill/>
                  </a:ln>
                </pic:spPr>
              </pic:pic>
            </a:graphicData>
          </a:graphic>
        </wp:inline>
      </w:drawing>
    </w:r>
    <w:r>
      <w:rPr>
        <w:b/>
        <w:sz w:val="24"/>
        <w:szCs w:val="24"/>
      </w:rPr>
      <w:tab/>
    </w:r>
    <w:r>
      <w:rPr>
        <w:noProof/>
        <w:lang w:val="de-CH" w:eastAsia="de-CH"/>
      </w:rPr>
      <w:drawing>
        <wp:anchor distT="0" distB="0" distL="114300" distR="114300" simplePos="0" relativeHeight="251659264" behindDoc="0" locked="0" layoutInCell="1" allowOverlap="1" wp14:anchorId="09893590" wp14:editId="6FD88A49">
          <wp:simplePos x="0" y="0"/>
          <wp:positionH relativeFrom="margin">
            <wp:align>right</wp:align>
          </wp:positionH>
          <wp:positionV relativeFrom="paragraph">
            <wp:posOffset>1905</wp:posOffset>
          </wp:positionV>
          <wp:extent cx="469900" cy="588645"/>
          <wp:effectExtent l="0" t="0" r="6350" b="1905"/>
          <wp:wrapNone/>
          <wp:docPr id="5" name="Grafik 1" descr="sg_wappen_1c_13mm(600dp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sg_wappen_1c_13mm(600dpi).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69900" cy="588645"/>
                  </a:xfrm>
                  <a:prstGeom prst="rect">
                    <a:avLst/>
                  </a:prstGeom>
                  <a:noFill/>
                  <a:ln>
                    <a:noFill/>
                  </a:ln>
                </pic:spPr>
              </pic:pic>
            </a:graphicData>
          </a:graphic>
        </wp:anchor>
      </w:drawing>
    </w:r>
  </w:p>
  <w:p w14:paraId="17837C86" w14:textId="77777777" w:rsidR="00DA4C1F" w:rsidRDefault="00DA4C1F" w:rsidP="00DA4C1F">
    <w:pPr>
      <w:pStyle w:val="Kopfzeile"/>
      <w:spacing w:after="160"/>
      <w:rPr>
        <w:b/>
        <w:sz w:val="24"/>
        <w:szCs w:val="24"/>
      </w:rPr>
    </w:pPr>
  </w:p>
  <w:tbl>
    <w:tblPr>
      <w:tblStyle w:val="Tabellenraster"/>
      <w:tblW w:w="9351" w:type="dxa"/>
      <w:tblLook w:val="04A0" w:firstRow="1" w:lastRow="0" w:firstColumn="1" w:lastColumn="0" w:noHBand="0" w:noVBand="1"/>
    </w:tblPr>
    <w:tblGrid>
      <w:gridCol w:w="7933"/>
      <w:gridCol w:w="1418"/>
    </w:tblGrid>
    <w:tr w:rsidR="00DA4C1F" w14:paraId="483865DF" w14:textId="77777777" w:rsidTr="00F828A7">
      <w:tc>
        <w:tcPr>
          <w:tcW w:w="7933" w:type="dxa"/>
          <w:vAlign w:val="center"/>
        </w:tcPr>
        <w:p w14:paraId="2A4CED1C" w14:textId="77777777" w:rsidR="00DA4C1F" w:rsidRPr="00C50A25" w:rsidRDefault="00AE6D18" w:rsidP="00DA4C1F">
          <w:pPr>
            <w:pStyle w:val="Kopfzeile"/>
            <w:spacing w:before="60" w:after="60"/>
            <w:rPr>
              <w:b/>
              <w:sz w:val="21"/>
              <w:szCs w:val="21"/>
            </w:rPr>
          </w:pPr>
          <w:r>
            <w:rPr>
              <w:b/>
              <w:sz w:val="21"/>
              <w:szCs w:val="21"/>
            </w:rPr>
            <w:t>Weiterbildung</w:t>
          </w:r>
        </w:p>
      </w:tc>
      <w:tc>
        <w:tcPr>
          <w:tcW w:w="1418" w:type="dxa"/>
          <w:vAlign w:val="center"/>
        </w:tcPr>
        <w:p w14:paraId="64310923" w14:textId="77777777" w:rsidR="00DA4C1F" w:rsidRPr="00C50A25" w:rsidRDefault="00AE6D18" w:rsidP="00DA4C1F">
          <w:pPr>
            <w:pStyle w:val="Kopfzeile"/>
            <w:spacing w:before="60" w:after="60"/>
            <w:jc w:val="right"/>
            <w:rPr>
              <w:b/>
              <w:sz w:val="21"/>
              <w:szCs w:val="21"/>
            </w:rPr>
          </w:pPr>
          <w:r>
            <w:rPr>
              <w:b/>
              <w:sz w:val="21"/>
              <w:szCs w:val="21"/>
            </w:rPr>
            <w:t>3</w:t>
          </w:r>
          <w:r w:rsidR="00877C1E">
            <w:rPr>
              <w:b/>
              <w:sz w:val="21"/>
              <w:szCs w:val="21"/>
            </w:rPr>
            <w:t>2</w:t>
          </w:r>
          <w:r w:rsidR="0014091E">
            <w:rPr>
              <w:b/>
              <w:sz w:val="21"/>
              <w:szCs w:val="21"/>
            </w:rPr>
            <w:t>39</w:t>
          </w:r>
        </w:p>
      </w:tc>
    </w:tr>
    <w:tr w:rsidR="00DA4C1F" w14:paraId="0AA1C13C" w14:textId="77777777" w:rsidTr="00F828A7">
      <w:tc>
        <w:tcPr>
          <w:tcW w:w="9351" w:type="dxa"/>
          <w:gridSpan w:val="2"/>
          <w:vAlign w:val="center"/>
        </w:tcPr>
        <w:p w14:paraId="36A8F3E7" w14:textId="77777777" w:rsidR="00DA4C1F" w:rsidRPr="00C50A25" w:rsidRDefault="00877C1E" w:rsidP="00DA4C1F">
          <w:pPr>
            <w:pStyle w:val="Kopfzeile"/>
            <w:spacing w:before="60" w:after="60"/>
            <w:rPr>
              <w:b/>
              <w:sz w:val="21"/>
              <w:szCs w:val="21"/>
            </w:rPr>
          </w:pPr>
          <w:r>
            <w:rPr>
              <w:b/>
              <w:sz w:val="21"/>
              <w:szCs w:val="21"/>
            </w:rPr>
            <w:t>Lehrgang</w:t>
          </w:r>
        </w:p>
      </w:tc>
    </w:tr>
  </w:tbl>
  <w:p w14:paraId="7A7EC5E1" w14:textId="77777777" w:rsidR="00DA4C1F" w:rsidRDefault="00DA4C1F" w:rsidP="00DA4C1F">
    <w:pPr>
      <w:pStyle w:val="Kopfzeile"/>
      <w:spacing w:after="160"/>
      <w:rPr>
        <w:b/>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2D04ADA"/>
    <w:multiLevelType w:val="hybridMultilevel"/>
    <w:tmpl w:val="BA865C86"/>
    <w:lvl w:ilvl="0" w:tplc="1908CCE2">
      <w:numFmt w:val="bullet"/>
      <w:lvlText w:val=""/>
      <w:lvlJc w:val="left"/>
      <w:pPr>
        <w:ind w:left="560" w:hanging="245"/>
      </w:pPr>
      <w:rPr>
        <w:rFonts w:ascii="Wingdings" w:eastAsia="Wingdings" w:hAnsi="Wingdings" w:cs="Wingdings" w:hint="default"/>
        <w:w w:val="100"/>
        <w:sz w:val="21"/>
        <w:szCs w:val="21"/>
        <w:lang w:val="de-CH" w:eastAsia="de-CH" w:bidi="de-CH"/>
      </w:rPr>
    </w:lvl>
    <w:lvl w:ilvl="1" w:tplc="8DE631F2">
      <w:numFmt w:val="bullet"/>
      <w:lvlText w:val="•"/>
      <w:lvlJc w:val="left"/>
      <w:pPr>
        <w:ind w:left="843" w:hanging="245"/>
      </w:pPr>
      <w:rPr>
        <w:rFonts w:hint="default"/>
        <w:lang w:val="de-CH" w:eastAsia="de-CH" w:bidi="de-CH"/>
      </w:rPr>
    </w:lvl>
    <w:lvl w:ilvl="2" w:tplc="5E984CCA">
      <w:numFmt w:val="bullet"/>
      <w:lvlText w:val="•"/>
      <w:lvlJc w:val="left"/>
      <w:pPr>
        <w:ind w:left="1126" w:hanging="245"/>
      </w:pPr>
      <w:rPr>
        <w:rFonts w:hint="default"/>
        <w:lang w:val="de-CH" w:eastAsia="de-CH" w:bidi="de-CH"/>
      </w:rPr>
    </w:lvl>
    <w:lvl w:ilvl="3" w:tplc="4784F518">
      <w:numFmt w:val="bullet"/>
      <w:lvlText w:val="•"/>
      <w:lvlJc w:val="left"/>
      <w:pPr>
        <w:ind w:left="1409" w:hanging="245"/>
      </w:pPr>
      <w:rPr>
        <w:rFonts w:hint="default"/>
        <w:lang w:val="de-CH" w:eastAsia="de-CH" w:bidi="de-CH"/>
      </w:rPr>
    </w:lvl>
    <w:lvl w:ilvl="4" w:tplc="65A288A2">
      <w:numFmt w:val="bullet"/>
      <w:lvlText w:val="•"/>
      <w:lvlJc w:val="left"/>
      <w:pPr>
        <w:ind w:left="1692" w:hanging="245"/>
      </w:pPr>
      <w:rPr>
        <w:rFonts w:hint="default"/>
        <w:lang w:val="de-CH" w:eastAsia="de-CH" w:bidi="de-CH"/>
      </w:rPr>
    </w:lvl>
    <w:lvl w:ilvl="5" w:tplc="4F5CDFE6">
      <w:numFmt w:val="bullet"/>
      <w:lvlText w:val="•"/>
      <w:lvlJc w:val="left"/>
      <w:pPr>
        <w:ind w:left="1975" w:hanging="245"/>
      </w:pPr>
      <w:rPr>
        <w:rFonts w:hint="default"/>
        <w:lang w:val="de-CH" w:eastAsia="de-CH" w:bidi="de-CH"/>
      </w:rPr>
    </w:lvl>
    <w:lvl w:ilvl="6" w:tplc="09B6FCF4">
      <w:numFmt w:val="bullet"/>
      <w:lvlText w:val="•"/>
      <w:lvlJc w:val="left"/>
      <w:pPr>
        <w:ind w:left="2258" w:hanging="245"/>
      </w:pPr>
      <w:rPr>
        <w:rFonts w:hint="default"/>
        <w:lang w:val="de-CH" w:eastAsia="de-CH" w:bidi="de-CH"/>
      </w:rPr>
    </w:lvl>
    <w:lvl w:ilvl="7" w:tplc="A140B4B8">
      <w:numFmt w:val="bullet"/>
      <w:lvlText w:val="•"/>
      <w:lvlJc w:val="left"/>
      <w:pPr>
        <w:ind w:left="2541" w:hanging="245"/>
      </w:pPr>
      <w:rPr>
        <w:rFonts w:hint="default"/>
        <w:lang w:val="de-CH" w:eastAsia="de-CH" w:bidi="de-CH"/>
      </w:rPr>
    </w:lvl>
    <w:lvl w:ilvl="8" w:tplc="6BC01636">
      <w:numFmt w:val="bullet"/>
      <w:lvlText w:val="•"/>
      <w:lvlJc w:val="left"/>
      <w:pPr>
        <w:ind w:left="2824" w:hanging="245"/>
      </w:pPr>
      <w:rPr>
        <w:rFonts w:hint="default"/>
        <w:lang w:val="de-CH" w:eastAsia="de-CH" w:bidi="de-CH"/>
      </w:rPr>
    </w:lvl>
  </w:abstractNum>
  <w:abstractNum w:abstractNumId="1" w15:restartNumberingAfterBreak="0">
    <w:nsid w:val="3DE0024D"/>
    <w:multiLevelType w:val="hybridMultilevel"/>
    <w:tmpl w:val="E836DD12"/>
    <w:lvl w:ilvl="0" w:tplc="79727F96">
      <w:numFmt w:val="bullet"/>
      <w:lvlText w:val=""/>
      <w:lvlJc w:val="left"/>
      <w:pPr>
        <w:ind w:left="543" w:hanging="245"/>
      </w:pPr>
      <w:rPr>
        <w:rFonts w:ascii="Wingdings" w:eastAsia="Wingdings" w:hAnsi="Wingdings" w:cs="Wingdings" w:hint="default"/>
        <w:w w:val="100"/>
        <w:sz w:val="21"/>
        <w:szCs w:val="21"/>
        <w:lang w:val="de-CH" w:eastAsia="de-CH" w:bidi="de-CH"/>
      </w:rPr>
    </w:lvl>
    <w:lvl w:ilvl="1" w:tplc="25C8DD6A">
      <w:numFmt w:val="bullet"/>
      <w:lvlText w:val="•"/>
      <w:lvlJc w:val="left"/>
      <w:pPr>
        <w:ind w:left="881" w:hanging="245"/>
      </w:pPr>
      <w:rPr>
        <w:rFonts w:hint="default"/>
        <w:lang w:val="de-CH" w:eastAsia="de-CH" w:bidi="de-CH"/>
      </w:rPr>
    </w:lvl>
    <w:lvl w:ilvl="2" w:tplc="CB7AAAD4">
      <w:numFmt w:val="bullet"/>
      <w:lvlText w:val="•"/>
      <w:lvlJc w:val="left"/>
      <w:pPr>
        <w:ind w:left="1222" w:hanging="245"/>
      </w:pPr>
      <w:rPr>
        <w:rFonts w:hint="default"/>
        <w:lang w:val="de-CH" w:eastAsia="de-CH" w:bidi="de-CH"/>
      </w:rPr>
    </w:lvl>
    <w:lvl w:ilvl="3" w:tplc="351CD564">
      <w:numFmt w:val="bullet"/>
      <w:lvlText w:val="•"/>
      <w:lvlJc w:val="left"/>
      <w:pPr>
        <w:ind w:left="1563" w:hanging="245"/>
      </w:pPr>
      <w:rPr>
        <w:rFonts w:hint="default"/>
        <w:lang w:val="de-CH" w:eastAsia="de-CH" w:bidi="de-CH"/>
      </w:rPr>
    </w:lvl>
    <w:lvl w:ilvl="4" w:tplc="EE34CD50">
      <w:numFmt w:val="bullet"/>
      <w:lvlText w:val="•"/>
      <w:lvlJc w:val="left"/>
      <w:pPr>
        <w:ind w:left="1905" w:hanging="245"/>
      </w:pPr>
      <w:rPr>
        <w:rFonts w:hint="default"/>
        <w:lang w:val="de-CH" w:eastAsia="de-CH" w:bidi="de-CH"/>
      </w:rPr>
    </w:lvl>
    <w:lvl w:ilvl="5" w:tplc="08B6B19E">
      <w:numFmt w:val="bullet"/>
      <w:lvlText w:val="•"/>
      <w:lvlJc w:val="left"/>
      <w:pPr>
        <w:ind w:left="2246" w:hanging="245"/>
      </w:pPr>
      <w:rPr>
        <w:rFonts w:hint="default"/>
        <w:lang w:val="de-CH" w:eastAsia="de-CH" w:bidi="de-CH"/>
      </w:rPr>
    </w:lvl>
    <w:lvl w:ilvl="6" w:tplc="8EF26A5A">
      <w:numFmt w:val="bullet"/>
      <w:lvlText w:val="•"/>
      <w:lvlJc w:val="left"/>
      <w:pPr>
        <w:ind w:left="2587" w:hanging="245"/>
      </w:pPr>
      <w:rPr>
        <w:rFonts w:hint="default"/>
        <w:lang w:val="de-CH" w:eastAsia="de-CH" w:bidi="de-CH"/>
      </w:rPr>
    </w:lvl>
    <w:lvl w:ilvl="7" w:tplc="967A2AF6">
      <w:numFmt w:val="bullet"/>
      <w:lvlText w:val="•"/>
      <w:lvlJc w:val="left"/>
      <w:pPr>
        <w:ind w:left="2929" w:hanging="245"/>
      </w:pPr>
      <w:rPr>
        <w:rFonts w:hint="default"/>
        <w:lang w:val="de-CH" w:eastAsia="de-CH" w:bidi="de-CH"/>
      </w:rPr>
    </w:lvl>
    <w:lvl w:ilvl="8" w:tplc="77B83AAA">
      <w:numFmt w:val="bullet"/>
      <w:lvlText w:val="•"/>
      <w:lvlJc w:val="left"/>
      <w:pPr>
        <w:ind w:left="3270" w:hanging="245"/>
      </w:pPr>
      <w:rPr>
        <w:rFonts w:hint="default"/>
        <w:lang w:val="de-CH" w:eastAsia="de-CH" w:bidi="de-CH"/>
      </w:rPr>
    </w:lvl>
  </w:abstractNum>
  <w:abstractNum w:abstractNumId="2" w15:restartNumberingAfterBreak="0">
    <w:nsid w:val="431A0AF9"/>
    <w:multiLevelType w:val="singleLevel"/>
    <w:tmpl w:val="C79ADFD2"/>
    <w:lvl w:ilvl="0">
      <w:start w:val="1"/>
      <w:numFmt w:val="bullet"/>
      <w:pStyle w:val="Auflistungvor"/>
      <w:lvlText w:val=""/>
      <w:legacy w:legacy="1" w:legacySpace="0" w:legacyIndent="283"/>
      <w:lvlJc w:val="left"/>
      <w:pPr>
        <w:ind w:left="283" w:hanging="283"/>
      </w:pPr>
      <w:rPr>
        <w:rFonts w:ascii="Symbol" w:hAnsi="Symbol" w:hint="default"/>
      </w:rPr>
    </w:lvl>
  </w:abstractNum>
  <w:abstractNum w:abstractNumId="3" w15:restartNumberingAfterBreak="0">
    <w:nsid w:val="4E4C6DF4"/>
    <w:multiLevelType w:val="hybridMultilevel"/>
    <w:tmpl w:val="1466D978"/>
    <w:lvl w:ilvl="0" w:tplc="79CE49AA">
      <w:numFmt w:val="bullet"/>
      <w:lvlText w:val=""/>
      <w:lvlJc w:val="left"/>
      <w:pPr>
        <w:ind w:left="294" w:hanging="245"/>
      </w:pPr>
      <w:rPr>
        <w:rFonts w:ascii="Wingdings" w:eastAsia="Wingdings" w:hAnsi="Wingdings" w:cs="Wingdings" w:hint="default"/>
        <w:w w:val="100"/>
        <w:sz w:val="21"/>
        <w:szCs w:val="21"/>
        <w:lang w:val="de-CH" w:eastAsia="de-CH" w:bidi="de-CH"/>
      </w:rPr>
    </w:lvl>
    <w:lvl w:ilvl="1" w:tplc="93EC7040">
      <w:numFmt w:val="bullet"/>
      <w:lvlText w:val="•"/>
      <w:lvlJc w:val="left"/>
      <w:pPr>
        <w:ind w:left="472" w:hanging="245"/>
      </w:pPr>
      <w:rPr>
        <w:rFonts w:hint="default"/>
        <w:lang w:val="de-CH" w:eastAsia="de-CH" w:bidi="de-CH"/>
      </w:rPr>
    </w:lvl>
    <w:lvl w:ilvl="2" w:tplc="B1F0D60E">
      <w:numFmt w:val="bullet"/>
      <w:lvlText w:val="•"/>
      <w:lvlJc w:val="left"/>
      <w:pPr>
        <w:ind w:left="644" w:hanging="245"/>
      </w:pPr>
      <w:rPr>
        <w:rFonts w:hint="default"/>
        <w:lang w:val="de-CH" w:eastAsia="de-CH" w:bidi="de-CH"/>
      </w:rPr>
    </w:lvl>
    <w:lvl w:ilvl="3" w:tplc="6D003BC4">
      <w:numFmt w:val="bullet"/>
      <w:lvlText w:val="•"/>
      <w:lvlJc w:val="left"/>
      <w:pPr>
        <w:ind w:left="816" w:hanging="245"/>
      </w:pPr>
      <w:rPr>
        <w:rFonts w:hint="default"/>
        <w:lang w:val="de-CH" w:eastAsia="de-CH" w:bidi="de-CH"/>
      </w:rPr>
    </w:lvl>
    <w:lvl w:ilvl="4" w:tplc="390A9584">
      <w:numFmt w:val="bullet"/>
      <w:lvlText w:val="•"/>
      <w:lvlJc w:val="left"/>
      <w:pPr>
        <w:ind w:left="988" w:hanging="245"/>
      </w:pPr>
      <w:rPr>
        <w:rFonts w:hint="default"/>
        <w:lang w:val="de-CH" w:eastAsia="de-CH" w:bidi="de-CH"/>
      </w:rPr>
    </w:lvl>
    <w:lvl w:ilvl="5" w:tplc="5CF8EC62">
      <w:numFmt w:val="bullet"/>
      <w:lvlText w:val="•"/>
      <w:lvlJc w:val="left"/>
      <w:pPr>
        <w:ind w:left="1160" w:hanging="245"/>
      </w:pPr>
      <w:rPr>
        <w:rFonts w:hint="default"/>
        <w:lang w:val="de-CH" w:eastAsia="de-CH" w:bidi="de-CH"/>
      </w:rPr>
    </w:lvl>
    <w:lvl w:ilvl="6" w:tplc="2804A38E">
      <w:numFmt w:val="bullet"/>
      <w:lvlText w:val="•"/>
      <w:lvlJc w:val="left"/>
      <w:pPr>
        <w:ind w:left="1332" w:hanging="245"/>
      </w:pPr>
      <w:rPr>
        <w:rFonts w:hint="default"/>
        <w:lang w:val="de-CH" w:eastAsia="de-CH" w:bidi="de-CH"/>
      </w:rPr>
    </w:lvl>
    <w:lvl w:ilvl="7" w:tplc="EBB41FB2">
      <w:numFmt w:val="bullet"/>
      <w:lvlText w:val="•"/>
      <w:lvlJc w:val="left"/>
      <w:pPr>
        <w:ind w:left="1504" w:hanging="245"/>
      </w:pPr>
      <w:rPr>
        <w:rFonts w:hint="default"/>
        <w:lang w:val="de-CH" w:eastAsia="de-CH" w:bidi="de-CH"/>
      </w:rPr>
    </w:lvl>
    <w:lvl w:ilvl="8" w:tplc="4D123854">
      <w:numFmt w:val="bullet"/>
      <w:lvlText w:val="•"/>
      <w:lvlJc w:val="left"/>
      <w:pPr>
        <w:ind w:left="1676" w:hanging="245"/>
      </w:pPr>
      <w:rPr>
        <w:rFonts w:hint="default"/>
        <w:lang w:val="de-CH" w:eastAsia="de-CH" w:bidi="de-CH"/>
      </w:rPr>
    </w:lvl>
  </w:abstractNum>
  <w:abstractNum w:abstractNumId="4" w15:restartNumberingAfterBreak="0">
    <w:nsid w:val="4EA2686F"/>
    <w:multiLevelType w:val="hybridMultilevel"/>
    <w:tmpl w:val="87CE65A8"/>
    <w:lvl w:ilvl="0" w:tplc="63B8F2FA">
      <w:numFmt w:val="bullet"/>
      <w:lvlText w:val=""/>
      <w:lvlJc w:val="left"/>
      <w:pPr>
        <w:ind w:left="406" w:hanging="245"/>
      </w:pPr>
      <w:rPr>
        <w:rFonts w:ascii="Wingdings" w:eastAsia="Wingdings" w:hAnsi="Wingdings" w:cs="Wingdings" w:hint="default"/>
        <w:w w:val="100"/>
        <w:sz w:val="21"/>
        <w:szCs w:val="21"/>
        <w:lang w:val="de-CH" w:eastAsia="de-CH" w:bidi="de-CH"/>
      </w:rPr>
    </w:lvl>
    <w:lvl w:ilvl="1" w:tplc="0A0A66D4">
      <w:numFmt w:val="bullet"/>
      <w:lvlText w:val="◻"/>
      <w:lvlJc w:val="left"/>
      <w:pPr>
        <w:ind w:left="1014" w:hanging="425"/>
      </w:pPr>
      <w:rPr>
        <w:rFonts w:ascii="Symbol" w:eastAsia="Symbol" w:hAnsi="Symbol" w:cs="Symbol" w:hint="default"/>
        <w:w w:val="99"/>
        <w:sz w:val="32"/>
        <w:szCs w:val="32"/>
        <w:lang w:val="de-CH" w:eastAsia="de-CH" w:bidi="de-CH"/>
      </w:rPr>
    </w:lvl>
    <w:lvl w:ilvl="2" w:tplc="67ACA9C6">
      <w:numFmt w:val="bullet"/>
      <w:lvlText w:val="•"/>
      <w:lvlJc w:val="left"/>
      <w:pPr>
        <w:ind w:left="2007" w:hanging="425"/>
      </w:pPr>
      <w:rPr>
        <w:rFonts w:hint="default"/>
        <w:lang w:val="de-CH" w:eastAsia="de-CH" w:bidi="de-CH"/>
      </w:rPr>
    </w:lvl>
    <w:lvl w:ilvl="3" w:tplc="95DC9874">
      <w:numFmt w:val="bullet"/>
      <w:lvlText w:val="•"/>
      <w:lvlJc w:val="left"/>
      <w:pPr>
        <w:ind w:left="2994" w:hanging="425"/>
      </w:pPr>
      <w:rPr>
        <w:rFonts w:hint="default"/>
        <w:lang w:val="de-CH" w:eastAsia="de-CH" w:bidi="de-CH"/>
      </w:rPr>
    </w:lvl>
    <w:lvl w:ilvl="4" w:tplc="204687E2">
      <w:numFmt w:val="bullet"/>
      <w:lvlText w:val="•"/>
      <w:lvlJc w:val="left"/>
      <w:pPr>
        <w:ind w:left="3982" w:hanging="425"/>
      </w:pPr>
      <w:rPr>
        <w:rFonts w:hint="default"/>
        <w:lang w:val="de-CH" w:eastAsia="de-CH" w:bidi="de-CH"/>
      </w:rPr>
    </w:lvl>
    <w:lvl w:ilvl="5" w:tplc="8F845FA6">
      <w:numFmt w:val="bullet"/>
      <w:lvlText w:val="•"/>
      <w:lvlJc w:val="left"/>
      <w:pPr>
        <w:ind w:left="4969" w:hanging="425"/>
      </w:pPr>
      <w:rPr>
        <w:rFonts w:hint="default"/>
        <w:lang w:val="de-CH" w:eastAsia="de-CH" w:bidi="de-CH"/>
      </w:rPr>
    </w:lvl>
    <w:lvl w:ilvl="6" w:tplc="ED1E4424">
      <w:numFmt w:val="bullet"/>
      <w:lvlText w:val="•"/>
      <w:lvlJc w:val="left"/>
      <w:pPr>
        <w:ind w:left="5956" w:hanging="425"/>
      </w:pPr>
      <w:rPr>
        <w:rFonts w:hint="default"/>
        <w:lang w:val="de-CH" w:eastAsia="de-CH" w:bidi="de-CH"/>
      </w:rPr>
    </w:lvl>
    <w:lvl w:ilvl="7" w:tplc="78A25C40">
      <w:numFmt w:val="bullet"/>
      <w:lvlText w:val="•"/>
      <w:lvlJc w:val="left"/>
      <w:pPr>
        <w:ind w:left="6944" w:hanging="425"/>
      </w:pPr>
      <w:rPr>
        <w:rFonts w:hint="default"/>
        <w:lang w:val="de-CH" w:eastAsia="de-CH" w:bidi="de-CH"/>
      </w:rPr>
    </w:lvl>
    <w:lvl w:ilvl="8" w:tplc="8FDEC2C6">
      <w:numFmt w:val="bullet"/>
      <w:lvlText w:val="•"/>
      <w:lvlJc w:val="left"/>
      <w:pPr>
        <w:ind w:left="7931" w:hanging="425"/>
      </w:pPr>
      <w:rPr>
        <w:rFonts w:hint="default"/>
        <w:lang w:val="de-CH" w:eastAsia="de-CH" w:bidi="de-CH"/>
      </w:rPr>
    </w:lvl>
  </w:abstractNum>
  <w:abstractNum w:abstractNumId="5" w15:restartNumberingAfterBreak="0">
    <w:nsid w:val="54E21BFD"/>
    <w:multiLevelType w:val="hybridMultilevel"/>
    <w:tmpl w:val="F3664558"/>
    <w:lvl w:ilvl="0" w:tplc="8D00DBBA">
      <w:numFmt w:val="bullet"/>
      <w:lvlText w:val=""/>
      <w:lvlJc w:val="left"/>
      <w:pPr>
        <w:ind w:left="142" w:hanging="245"/>
      </w:pPr>
      <w:rPr>
        <w:rFonts w:ascii="Wingdings" w:eastAsia="Wingdings" w:hAnsi="Wingdings" w:cs="Wingdings" w:hint="default"/>
        <w:w w:val="100"/>
        <w:sz w:val="21"/>
        <w:szCs w:val="21"/>
        <w:lang w:val="de-CH" w:eastAsia="de-CH" w:bidi="de-CH"/>
      </w:rPr>
    </w:lvl>
    <w:lvl w:ilvl="1" w:tplc="086ED3F6">
      <w:numFmt w:val="bullet"/>
      <w:lvlText w:val="•"/>
      <w:lvlJc w:val="left"/>
      <w:pPr>
        <w:ind w:left="1114" w:hanging="245"/>
      </w:pPr>
      <w:rPr>
        <w:rFonts w:hint="default"/>
        <w:lang w:val="de-CH" w:eastAsia="de-CH" w:bidi="de-CH"/>
      </w:rPr>
    </w:lvl>
    <w:lvl w:ilvl="2" w:tplc="46963A2C">
      <w:numFmt w:val="bullet"/>
      <w:lvlText w:val="•"/>
      <w:lvlJc w:val="left"/>
      <w:pPr>
        <w:ind w:left="2089" w:hanging="245"/>
      </w:pPr>
      <w:rPr>
        <w:rFonts w:hint="default"/>
        <w:lang w:val="de-CH" w:eastAsia="de-CH" w:bidi="de-CH"/>
      </w:rPr>
    </w:lvl>
    <w:lvl w:ilvl="3" w:tplc="37A654E2">
      <w:numFmt w:val="bullet"/>
      <w:lvlText w:val="•"/>
      <w:lvlJc w:val="left"/>
      <w:pPr>
        <w:ind w:left="3063" w:hanging="245"/>
      </w:pPr>
      <w:rPr>
        <w:rFonts w:hint="default"/>
        <w:lang w:val="de-CH" w:eastAsia="de-CH" w:bidi="de-CH"/>
      </w:rPr>
    </w:lvl>
    <w:lvl w:ilvl="4" w:tplc="D2D60E4C">
      <w:numFmt w:val="bullet"/>
      <w:lvlText w:val="•"/>
      <w:lvlJc w:val="left"/>
      <w:pPr>
        <w:ind w:left="4038" w:hanging="245"/>
      </w:pPr>
      <w:rPr>
        <w:rFonts w:hint="default"/>
        <w:lang w:val="de-CH" w:eastAsia="de-CH" w:bidi="de-CH"/>
      </w:rPr>
    </w:lvl>
    <w:lvl w:ilvl="5" w:tplc="DD3A7B9E">
      <w:numFmt w:val="bullet"/>
      <w:lvlText w:val="•"/>
      <w:lvlJc w:val="left"/>
      <w:pPr>
        <w:ind w:left="5013" w:hanging="245"/>
      </w:pPr>
      <w:rPr>
        <w:rFonts w:hint="default"/>
        <w:lang w:val="de-CH" w:eastAsia="de-CH" w:bidi="de-CH"/>
      </w:rPr>
    </w:lvl>
    <w:lvl w:ilvl="6" w:tplc="FD46117A">
      <w:numFmt w:val="bullet"/>
      <w:lvlText w:val="•"/>
      <w:lvlJc w:val="left"/>
      <w:pPr>
        <w:ind w:left="5987" w:hanging="245"/>
      </w:pPr>
      <w:rPr>
        <w:rFonts w:hint="default"/>
        <w:lang w:val="de-CH" w:eastAsia="de-CH" w:bidi="de-CH"/>
      </w:rPr>
    </w:lvl>
    <w:lvl w:ilvl="7" w:tplc="D5EC702E">
      <w:numFmt w:val="bullet"/>
      <w:lvlText w:val="•"/>
      <w:lvlJc w:val="left"/>
      <w:pPr>
        <w:ind w:left="6962" w:hanging="245"/>
      </w:pPr>
      <w:rPr>
        <w:rFonts w:hint="default"/>
        <w:lang w:val="de-CH" w:eastAsia="de-CH" w:bidi="de-CH"/>
      </w:rPr>
    </w:lvl>
    <w:lvl w:ilvl="8" w:tplc="11AC3396">
      <w:numFmt w:val="bullet"/>
      <w:lvlText w:val="•"/>
      <w:lvlJc w:val="left"/>
      <w:pPr>
        <w:ind w:left="7937" w:hanging="245"/>
      </w:pPr>
      <w:rPr>
        <w:rFonts w:hint="default"/>
        <w:lang w:val="de-CH" w:eastAsia="de-CH" w:bidi="de-CH"/>
      </w:rPr>
    </w:lvl>
  </w:abstractNum>
  <w:abstractNum w:abstractNumId="6" w15:restartNumberingAfterBreak="0">
    <w:nsid w:val="55724958"/>
    <w:multiLevelType w:val="hybridMultilevel"/>
    <w:tmpl w:val="D20E0C3C"/>
    <w:lvl w:ilvl="0" w:tplc="C5CE1A66">
      <w:numFmt w:val="bullet"/>
      <w:lvlText w:val=""/>
      <w:lvlJc w:val="left"/>
      <w:pPr>
        <w:ind w:left="560" w:hanging="245"/>
      </w:pPr>
      <w:rPr>
        <w:rFonts w:ascii="Wingdings" w:eastAsia="Wingdings" w:hAnsi="Wingdings" w:cs="Wingdings" w:hint="default"/>
        <w:w w:val="100"/>
        <w:sz w:val="21"/>
        <w:szCs w:val="21"/>
        <w:lang w:val="de-CH" w:eastAsia="de-CH" w:bidi="de-CH"/>
      </w:rPr>
    </w:lvl>
    <w:lvl w:ilvl="1" w:tplc="344EF5C8">
      <w:numFmt w:val="bullet"/>
      <w:lvlText w:val="•"/>
      <w:lvlJc w:val="left"/>
      <w:pPr>
        <w:ind w:left="843" w:hanging="245"/>
      </w:pPr>
      <w:rPr>
        <w:rFonts w:hint="default"/>
        <w:lang w:val="de-CH" w:eastAsia="de-CH" w:bidi="de-CH"/>
      </w:rPr>
    </w:lvl>
    <w:lvl w:ilvl="2" w:tplc="B2C84966">
      <w:numFmt w:val="bullet"/>
      <w:lvlText w:val="•"/>
      <w:lvlJc w:val="left"/>
      <w:pPr>
        <w:ind w:left="1126" w:hanging="245"/>
      </w:pPr>
      <w:rPr>
        <w:rFonts w:hint="default"/>
        <w:lang w:val="de-CH" w:eastAsia="de-CH" w:bidi="de-CH"/>
      </w:rPr>
    </w:lvl>
    <w:lvl w:ilvl="3" w:tplc="5D48EC58">
      <w:numFmt w:val="bullet"/>
      <w:lvlText w:val="•"/>
      <w:lvlJc w:val="left"/>
      <w:pPr>
        <w:ind w:left="1409" w:hanging="245"/>
      </w:pPr>
      <w:rPr>
        <w:rFonts w:hint="default"/>
        <w:lang w:val="de-CH" w:eastAsia="de-CH" w:bidi="de-CH"/>
      </w:rPr>
    </w:lvl>
    <w:lvl w:ilvl="4" w:tplc="98825CAC">
      <w:numFmt w:val="bullet"/>
      <w:lvlText w:val="•"/>
      <w:lvlJc w:val="left"/>
      <w:pPr>
        <w:ind w:left="1692" w:hanging="245"/>
      </w:pPr>
      <w:rPr>
        <w:rFonts w:hint="default"/>
        <w:lang w:val="de-CH" w:eastAsia="de-CH" w:bidi="de-CH"/>
      </w:rPr>
    </w:lvl>
    <w:lvl w:ilvl="5" w:tplc="93222D32">
      <w:numFmt w:val="bullet"/>
      <w:lvlText w:val="•"/>
      <w:lvlJc w:val="left"/>
      <w:pPr>
        <w:ind w:left="1975" w:hanging="245"/>
      </w:pPr>
      <w:rPr>
        <w:rFonts w:hint="default"/>
        <w:lang w:val="de-CH" w:eastAsia="de-CH" w:bidi="de-CH"/>
      </w:rPr>
    </w:lvl>
    <w:lvl w:ilvl="6" w:tplc="2242C56C">
      <w:numFmt w:val="bullet"/>
      <w:lvlText w:val="•"/>
      <w:lvlJc w:val="left"/>
      <w:pPr>
        <w:ind w:left="2258" w:hanging="245"/>
      </w:pPr>
      <w:rPr>
        <w:rFonts w:hint="default"/>
        <w:lang w:val="de-CH" w:eastAsia="de-CH" w:bidi="de-CH"/>
      </w:rPr>
    </w:lvl>
    <w:lvl w:ilvl="7" w:tplc="3C088052">
      <w:numFmt w:val="bullet"/>
      <w:lvlText w:val="•"/>
      <w:lvlJc w:val="left"/>
      <w:pPr>
        <w:ind w:left="2541" w:hanging="245"/>
      </w:pPr>
      <w:rPr>
        <w:rFonts w:hint="default"/>
        <w:lang w:val="de-CH" w:eastAsia="de-CH" w:bidi="de-CH"/>
      </w:rPr>
    </w:lvl>
    <w:lvl w:ilvl="8" w:tplc="47F4E9B8">
      <w:numFmt w:val="bullet"/>
      <w:lvlText w:val="•"/>
      <w:lvlJc w:val="left"/>
      <w:pPr>
        <w:ind w:left="2824" w:hanging="245"/>
      </w:pPr>
      <w:rPr>
        <w:rFonts w:hint="default"/>
        <w:lang w:val="de-CH" w:eastAsia="de-CH" w:bidi="de-CH"/>
      </w:rPr>
    </w:lvl>
  </w:abstractNum>
  <w:abstractNum w:abstractNumId="7" w15:restartNumberingAfterBreak="0">
    <w:nsid w:val="62F52EAB"/>
    <w:multiLevelType w:val="hybridMultilevel"/>
    <w:tmpl w:val="873459F8"/>
    <w:lvl w:ilvl="0" w:tplc="5E2647C4">
      <w:start w:val="20"/>
      <w:numFmt w:val="bullet"/>
      <w:lvlText w:val="-"/>
      <w:lvlJc w:val="left"/>
      <w:pPr>
        <w:ind w:left="720" w:hanging="360"/>
      </w:pPr>
      <w:rPr>
        <w:rFonts w:ascii="Arial" w:eastAsia="MS Mincho"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8" w15:restartNumberingAfterBreak="0">
    <w:nsid w:val="6B171AF3"/>
    <w:multiLevelType w:val="hybridMultilevel"/>
    <w:tmpl w:val="3CE8D918"/>
    <w:lvl w:ilvl="0" w:tplc="5284E716">
      <w:start w:val="1"/>
      <w:numFmt w:val="bullet"/>
      <w:lvlText w:val=""/>
      <w:lvlJc w:val="left"/>
      <w:pPr>
        <w:ind w:left="720" w:hanging="360"/>
      </w:pPr>
      <w:rPr>
        <w:rFonts w:ascii="Wingdings" w:hAnsi="Wingdings" w:hint="default"/>
      </w:rPr>
    </w:lvl>
    <w:lvl w:ilvl="1" w:tplc="08070003">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9" w15:restartNumberingAfterBreak="0">
    <w:nsid w:val="6DBE5BB1"/>
    <w:multiLevelType w:val="hybridMultilevel"/>
    <w:tmpl w:val="D0C22A3A"/>
    <w:lvl w:ilvl="0" w:tplc="4220390E">
      <w:numFmt w:val="bullet"/>
      <w:lvlText w:val=""/>
      <w:lvlJc w:val="left"/>
      <w:pPr>
        <w:ind w:left="543" w:hanging="245"/>
      </w:pPr>
      <w:rPr>
        <w:rFonts w:ascii="Wingdings" w:eastAsia="Wingdings" w:hAnsi="Wingdings" w:cs="Wingdings" w:hint="default"/>
        <w:w w:val="100"/>
        <w:sz w:val="21"/>
        <w:szCs w:val="21"/>
        <w:lang w:val="de-CH" w:eastAsia="de-CH" w:bidi="de-CH"/>
      </w:rPr>
    </w:lvl>
    <w:lvl w:ilvl="1" w:tplc="36604DA8">
      <w:numFmt w:val="bullet"/>
      <w:lvlText w:val="•"/>
      <w:lvlJc w:val="left"/>
      <w:pPr>
        <w:ind w:left="881" w:hanging="245"/>
      </w:pPr>
      <w:rPr>
        <w:rFonts w:hint="default"/>
        <w:lang w:val="de-CH" w:eastAsia="de-CH" w:bidi="de-CH"/>
      </w:rPr>
    </w:lvl>
    <w:lvl w:ilvl="2" w:tplc="73D0802C">
      <w:numFmt w:val="bullet"/>
      <w:lvlText w:val="•"/>
      <w:lvlJc w:val="left"/>
      <w:pPr>
        <w:ind w:left="1222" w:hanging="245"/>
      </w:pPr>
      <w:rPr>
        <w:rFonts w:hint="default"/>
        <w:lang w:val="de-CH" w:eastAsia="de-CH" w:bidi="de-CH"/>
      </w:rPr>
    </w:lvl>
    <w:lvl w:ilvl="3" w:tplc="9350119C">
      <w:numFmt w:val="bullet"/>
      <w:lvlText w:val="•"/>
      <w:lvlJc w:val="left"/>
      <w:pPr>
        <w:ind w:left="1563" w:hanging="245"/>
      </w:pPr>
      <w:rPr>
        <w:rFonts w:hint="default"/>
        <w:lang w:val="de-CH" w:eastAsia="de-CH" w:bidi="de-CH"/>
      </w:rPr>
    </w:lvl>
    <w:lvl w:ilvl="4" w:tplc="E1063FE2">
      <w:numFmt w:val="bullet"/>
      <w:lvlText w:val="•"/>
      <w:lvlJc w:val="left"/>
      <w:pPr>
        <w:ind w:left="1905" w:hanging="245"/>
      </w:pPr>
      <w:rPr>
        <w:rFonts w:hint="default"/>
        <w:lang w:val="de-CH" w:eastAsia="de-CH" w:bidi="de-CH"/>
      </w:rPr>
    </w:lvl>
    <w:lvl w:ilvl="5" w:tplc="18106742">
      <w:numFmt w:val="bullet"/>
      <w:lvlText w:val="•"/>
      <w:lvlJc w:val="left"/>
      <w:pPr>
        <w:ind w:left="2246" w:hanging="245"/>
      </w:pPr>
      <w:rPr>
        <w:rFonts w:hint="default"/>
        <w:lang w:val="de-CH" w:eastAsia="de-CH" w:bidi="de-CH"/>
      </w:rPr>
    </w:lvl>
    <w:lvl w:ilvl="6" w:tplc="B64649B8">
      <w:numFmt w:val="bullet"/>
      <w:lvlText w:val="•"/>
      <w:lvlJc w:val="left"/>
      <w:pPr>
        <w:ind w:left="2587" w:hanging="245"/>
      </w:pPr>
      <w:rPr>
        <w:rFonts w:hint="default"/>
        <w:lang w:val="de-CH" w:eastAsia="de-CH" w:bidi="de-CH"/>
      </w:rPr>
    </w:lvl>
    <w:lvl w:ilvl="7" w:tplc="9FC4C668">
      <w:numFmt w:val="bullet"/>
      <w:lvlText w:val="•"/>
      <w:lvlJc w:val="left"/>
      <w:pPr>
        <w:ind w:left="2929" w:hanging="245"/>
      </w:pPr>
      <w:rPr>
        <w:rFonts w:hint="default"/>
        <w:lang w:val="de-CH" w:eastAsia="de-CH" w:bidi="de-CH"/>
      </w:rPr>
    </w:lvl>
    <w:lvl w:ilvl="8" w:tplc="1C9E612E">
      <w:numFmt w:val="bullet"/>
      <w:lvlText w:val="•"/>
      <w:lvlJc w:val="left"/>
      <w:pPr>
        <w:ind w:left="3270" w:hanging="245"/>
      </w:pPr>
      <w:rPr>
        <w:rFonts w:hint="default"/>
        <w:lang w:val="de-CH" w:eastAsia="de-CH" w:bidi="de-CH"/>
      </w:rPr>
    </w:lvl>
  </w:abstractNum>
  <w:abstractNum w:abstractNumId="10" w15:restartNumberingAfterBreak="0">
    <w:nsid w:val="6F0F664D"/>
    <w:multiLevelType w:val="hybridMultilevel"/>
    <w:tmpl w:val="E342EEF6"/>
    <w:lvl w:ilvl="0" w:tplc="D42E8064">
      <w:numFmt w:val="bullet"/>
      <w:lvlText w:val=""/>
      <w:lvlJc w:val="left"/>
      <w:pPr>
        <w:ind w:left="294" w:hanging="245"/>
      </w:pPr>
      <w:rPr>
        <w:rFonts w:ascii="Wingdings" w:eastAsia="Wingdings" w:hAnsi="Wingdings" w:cs="Wingdings" w:hint="default"/>
        <w:w w:val="100"/>
        <w:sz w:val="21"/>
        <w:szCs w:val="21"/>
        <w:lang w:val="de-CH" w:eastAsia="de-CH" w:bidi="de-CH"/>
      </w:rPr>
    </w:lvl>
    <w:lvl w:ilvl="1" w:tplc="10644128">
      <w:numFmt w:val="bullet"/>
      <w:lvlText w:val="•"/>
      <w:lvlJc w:val="left"/>
      <w:pPr>
        <w:ind w:left="472" w:hanging="245"/>
      </w:pPr>
      <w:rPr>
        <w:rFonts w:hint="default"/>
        <w:lang w:val="de-CH" w:eastAsia="de-CH" w:bidi="de-CH"/>
      </w:rPr>
    </w:lvl>
    <w:lvl w:ilvl="2" w:tplc="E730E156">
      <w:numFmt w:val="bullet"/>
      <w:lvlText w:val="•"/>
      <w:lvlJc w:val="left"/>
      <w:pPr>
        <w:ind w:left="644" w:hanging="245"/>
      </w:pPr>
      <w:rPr>
        <w:rFonts w:hint="default"/>
        <w:lang w:val="de-CH" w:eastAsia="de-CH" w:bidi="de-CH"/>
      </w:rPr>
    </w:lvl>
    <w:lvl w:ilvl="3" w:tplc="5CEEB398">
      <w:numFmt w:val="bullet"/>
      <w:lvlText w:val="•"/>
      <w:lvlJc w:val="left"/>
      <w:pPr>
        <w:ind w:left="816" w:hanging="245"/>
      </w:pPr>
      <w:rPr>
        <w:rFonts w:hint="default"/>
        <w:lang w:val="de-CH" w:eastAsia="de-CH" w:bidi="de-CH"/>
      </w:rPr>
    </w:lvl>
    <w:lvl w:ilvl="4" w:tplc="7D129C12">
      <w:numFmt w:val="bullet"/>
      <w:lvlText w:val="•"/>
      <w:lvlJc w:val="left"/>
      <w:pPr>
        <w:ind w:left="988" w:hanging="245"/>
      </w:pPr>
      <w:rPr>
        <w:rFonts w:hint="default"/>
        <w:lang w:val="de-CH" w:eastAsia="de-CH" w:bidi="de-CH"/>
      </w:rPr>
    </w:lvl>
    <w:lvl w:ilvl="5" w:tplc="E77AD80A">
      <w:numFmt w:val="bullet"/>
      <w:lvlText w:val="•"/>
      <w:lvlJc w:val="left"/>
      <w:pPr>
        <w:ind w:left="1160" w:hanging="245"/>
      </w:pPr>
      <w:rPr>
        <w:rFonts w:hint="default"/>
        <w:lang w:val="de-CH" w:eastAsia="de-CH" w:bidi="de-CH"/>
      </w:rPr>
    </w:lvl>
    <w:lvl w:ilvl="6" w:tplc="8F3EC452">
      <w:numFmt w:val="bullet"/>
      <w:lvlText w:val="•"/>
      <w:lvlJc w:val="left"/>
      <w:pPr>
        <w:ind w:left="1332" w:hanging="245"/>
      </w:pPr>
      <w:rPr>
        <w:rFonts w:hint="default"/>
        <w:lang w:val="de-CH" w:eastAsia="de-CH" w:bidi="de-CH"/>
      </w:rPr>
    </w:lvl>
    <w:lvl w:ilvl="7" w:tplc="0C22E984">
      <w:numFmt w:val="bullet"/>
      <w:lvlText w:val="•"/>
      <w:lvlJc w:val="left"/>
      <w:pPr>
        <w:ind w:left="1504" w:hanging="245"/>
      </w:pPr>
      <w:rPr>
        <w:rFonts w:hint="default"/>
        <w:lang w:val="de-CH" w:eastAsia="de-CH" w:bidi="de-CH"/>
      </w:rPr>
    </w:lvl>
    <w:lvl w:ilvl="8" w:tplc="25A2FC9E">
      <w:numFmt w:val="bullet"/>
      <w:lvlText w:val="•"/>
      <w:lvlJc w:val="left"/>
      <w:pPr>
        <w:ind w:left="1676" w:hanging="245"/>
      </w:pPr>
      <w:rPr>
        <w:rFonts w:hint="default"/>
        <w:lang w:val="de-CH" w:eastAsia="de-CH" w:bidi="de-CH"/>
      </w:rPr>
    </w:lvl>
  </w:abstractNum>
  <w:num w:numId="1">
    <w:abstractNumId w:val="2"/>
  </w:num>
  <w:num w:numId="2">
    <w:abstractNumId w:val="5"/>
  </w:num>
  <w:num w:numId="3">
    <w:abstractNumId w:val="4"/>
  </w:num>
  <w:num w:numId="4">
    <w:abstractNumId w:val="6"/>
  </w:num>
  <w:num w:numId="5">
    <w:abstractNumId w:val="9"/>
  </w:num>
  <w:num w:numId="6">
    <w:abstractNumId w:val="3"/>
  </w:num>
  <w:num w:numId="7">
    <w:abstractNumId w:val="0"/>
  </w:num>
  <w:num w:numId="8">
    <w:abstractNumId w:val="1"/>
  </w:num>
  <w:num w:numId="9">
    <w:abstractNumId w:val="10"/>
  </w:num>
  <w:num w:numId="10">
    <w:abstractNumId w:val="8"/>
  </w:num>
  <w:num w:numId="11">
    <w:abstractNumId w:val="7"/>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08"/>
  <w:autoHyphenation/>
  <w:hyphenationZone w:val="425"/>
  <w:displayHorizontalDrawingGridEvery w:val="0"/>
  <w:displayVerticalDrawingGridEvery w:val="0"/>
  <w:doNotUseMarginsForDrawingGridOrigin/>
  <w:noPunctuationKerning/>
  <w:characterSpacingControl w:val="doNotCompress"/>
  <w:hdrShapeDefaults>
    <o:shapedefaults v:ext="edit" spidmax="1105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23D6"/>
    <w:rsid w:val="00015B12"/>
    <w:rsid w:val="00016EA5"/>
    <w:rsid w:val="000413F3"/>
    <w:rsid w:val="00041787"/>
    <w:rsid w:val="00080D62"/>
    <w:rsid w:val="00092371"/>
    <w:rsid w:val="000B598C"/>
    <w:rsid w:val="000D4DDB"/>
    <w:rsid w:val="000D7198"/>
    <w:rsid w:val="00121AA7"/>
    <w:rsid w:val="0014091E"/>
    <w:rsid w:val="00147892"/>
    <w:rsid w:val="0016570B"/>
    <w:rsid w:val="00165B74"/>
    <w:rsid w:val="0017079E"/>
    <w:rsid w:val="001E37BE"/>
    <w:rsid w:val="001F49C5"/>
    <w:rsid w:val="002013B6"/>
    <w:rsid w:val="0021064E"/>
    <w:rsid w:val="002121B4"/>
    <w:rsid w:val="00214142"/>
    <w:rsid w:val="00246A59"/>
    <w:rsid w:val="002641A8"/>
    <w:rsid w:val="00277956"/>
    <w:rsid w:val="002909BD"/>
    <w:rsid w:val="00292373"/>
    <w:rsid w:val="002D21B3"/>
    <w:rsid w:val="002F1D13"/>
    <w:rsid w:val="0031385E"/>
    <w:rsid w:val="00317502"/>
    <w:rsid w:val="003206B1"/>
    <w:rsid w:val="00353608"/>
    <w:rsid w:val="00385AFF"/>
    <w:rsid w:val="00386C03"/>
    <w:rsid w:val="003B5D7C"/>
    <w:rsid w:val="003B77C9"/>
    <w:rsid w:val="003C758C"/>
    <w:rsid w:val="003D59D5"/>
    <w:rsid w:val="003F1FCC"/>
    <w:rsid w:val="00415064"/>
    <w:rsid w:val="00416321"/>
    <w:rsid w:val="00416A17"/>
    <w:rsid w:val="00444FA1"/>
    <w:rsid w:val="00446BC0"/>
    <w:rsid w:val="00452D78"/>
    <w:rsid w:val="004A2EC5"/>
    <w:rsid w:val="004B6614"/>
    <w:rsid w:val="004D13F8"/>
    <w:rsid w:val="004E072B"/>
    <w:rsid w:val="004E42A3"/>
    <w:rsid w:val="004F128A"/>
    <w:rsid w:val="00502309"/>
    <w:rsid w:val="00537BD8"/>
    <w:rsid w:val="005404B7"/>
    <w:rsid w:val="005774D5"/>
    <w:rsid w:val="0058259A"/>
    <w:rsid w:val="005A6DCA"/>
    <w:rsid w:val="005B72F2"/>
    <w:rsid w:val="005C2962"/>
    <w:rsid w:val="00614649"/>
    <w:rsid w:val="00614AA6"/>
    <w:rsid w:val="00634FAC"/>
    <w:rsid w:val="006377BF"/>
    <w:rsid w:val="00643922"/>
    <w:rsid w:val="00657542"/>
    <w:rsid w:val="006657CA"/>
    <w:rsid w:val="00684527"/>
    <w:rsid w:val="006D112A"/>
    <w:rsid w:val="006D4011"/>
    <w:rsid w:val="00702E52"/>
    <w:rsid w:val="007215CE"/>
    <w:rsid w:val="007367C3"/>
    <w:rsid w:val="00745948"/>
    <w:rsid w:val="00753DD1"/>
    <w:rsid w:val="00772DDD"/>
    <w:rsid w:val="00796AC6"/>
    <w:rsid w:val="00796F2B"/>
    <w:rsid w:val="007D2771"/>
    <w:rsid w:val="007E1FF5"/>
    <w:rsid w:val="007F3F10"/>
    <w:rsid w:val="007F7D62"/>
    <w:rsid w:val="00816694"/>
    <w:rsid w:val="00826D7A"/>
    <w:rsid w:val="00827615"/>
    <w:rsid w:val="008466DA"/>
    <w:rsid w:val="00877C1E"/>
    <w:rsid w:val="00882162"/>
    <w:rsid w:val="008921B6"/>
    <w:rsid w:val="00897DE2"/>
    <w:rsid w:val="008B2AA7"/>
    <w:rsid w:val="008C38C4"/>
    <w:rsid w:val="008C438B"/>
    <w:rsid w:val="008D584A"/>
    <w:rsid w:val="008D7899"/>
    <w:rsid w:val="008E1F08"/>
    <w:rsid w:val="008E377D"/>
    <w:rsid w:val="008E38D9"/>
    <w:rsid w:val="00916FAC"/>
    <w:rsid w:val="00992D5B"/>
    <w:rsid w:val="009944AF"/>
    <w:rsid w:val="009A492D"/>
    <w:rsid w:val="009D6641"/>
    <w:rsid w:val="009E18D5"/>
    <w:rsid w:val="009E698D"/>
    <w:rsid w:val="009F6FBE"/>
    <w:rsid w:val="00A019E2"/>
    <w:rsid w:val="00A149B7"/>
    <w:rsid w:val="00A234D2"/>
    <w:rsid w:val="00A26B6C"/>
    <w:rsid w:val="00A27CD9"/>
    <w:rsid w:val="00A578E2"/>
    <w:rsid w:val="00A6280E"/>
    <w:rsid w:val="00A872C4"/>
    <w:rsid w:val="00AA23D6"/>
    <w:rsid w:val="00AB1DB8"/>
    <w:rsid w:val="00AE6D18"/>
    <w:rsid w:val="00AF51E3"/>
    <w:rsid w:val="00B07CE3"/>
    <w:rsid w:val="00B35727"/>
    <w:rsid w:val="00B52667"/>
    <w:rsid w:val="00B7436B"/>
    <w:rsid w:val="00BB56A6"/>
    <w:rsid w:val="00BC7788"/>
    <w:rsid w:val="00BF1499"/>
    <w:rsid w:val="00C60D10"/>
    <w:rsid w:val="00C62FF9"/>
    <w:rsid w:val="00C632AB"/>
    <w:rsid w:val="00CA71F1"/>
    <w:rsid w:val="00CC34A9"/>
    <w:rsid w:val="00CC54F6"/>
    <w:rsid w:val="00CC6964"/>
    <w:rsid w:val="00D1504D"/>
    <w:rsid w:val="00D50F13"/>
    <w:rsid w:val="00D862BE"/>
    <w:rsid w:val="00D86F88"/>
    <w:rsid w:val="00D95EAB"/>
    <w:rsid w:val="00DA4C1F"/>
    <w:rsid w:val="00DA5480"/>
    <w:rsid w:val="00DC1306"/>
    <w:rsid w:val="00E026C7"/>
    <w:rsid w:val="00E16BC6"/>
    <w:rsid w:val="00E202BD"/>
    <w:rsid w:val="00E25609"/>
    <w:rsid w:val="00E319EA"/>
    <w:rsid w:val="00E70FDE"/>
    <w:rsid w:val="00EB14DC"/>
    <w:rsid w:val="00EC2393"/>
    <w:rsid w:val="00ED0CA8"/>
    <w:rsid w:val="00ED7224"/>
    <w:rsid w:val="00EF229D"/>
    <w:rsid w:val="00F00E28"/>
    <w:rsid w:val="00F03671"/>
    <w:rsid w:val="00F11EF9"/>
    <w:rsid w:val="00F2139D"/>
    <w:rsid w:val="00F4751F"/>
    <w:rsid w:val="00F66595"/>
    <w:rsid w:val="00F80430"/>
    <w:rsid w:val="00F8304A"/>
    <w:rsid w:val="00F84F82"/>
    <w:rsid w:val="00F87030"/>
    <w:rsid w:val="00FA40D2"/>
    <w:rsid w:val="00FB7EFC"/>
    <w:rsid w:val="00FC01F0"/>
    <w:rsid w:val="00FD4913"/>
    <w:rsid w:val="00FF3D3C"/>
    <w:rsid w:val="00FF4587"/>
  </w:rsids>
  <m:mathPr>
    <m:mathFont m:val="Cambria Math"/>
    <m:brkBin m:val="before"/>
    <m:brkBinSub m:val="--"/>
    <m:smallFrac m:val="0"/>
    <m:dispDef/>
    <m:lMargin m:val="0"/>
    <m:rMargin m:val="0"/>
    <m:defJc m:val="centerGroup"/>
    <m:wrapIndent m:val="1440"/>
    <m:intLim m:val="subSup"/>
    <m:naryLim m:val="undOvr"/>
  </m:mathPr>
  <w:themeFontLang w:val="de-CH"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0593"/>
    <o:shapelayout v:ext="edit">
      <o:idmap v:ext="edit" data="1"/>
    </o:shapelayout>
  </w:shapeDefaults>
  <w:decimalSymbol w:val="."/>
  <w:listSeparator w:val=";"/>
  <w14:docId w14:val="220B5B71"/>
  <w15:docId w15:val="{E0381D05-8202-4A17-9A68-62FED6B3A8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CH" w:eastAsia="de-CH"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qFormat/>
    <w:rPr>
      <w:rFonts w:ascii="Arial" w:hAnsi="Arial"/>
      <w:sz w:val="22"/>
      <w:lang w:val="de-DE" w:eastAsia="de-DE"/>
    </w:rPr>
  </w:style>
  <w:style w:type="paragraph" w:styleId="berschrift1">
    <w:name w:val="heading 1"/>
    <w:basedOn w:val="Standard"/>
    <w:next w:val="Standard"/>
    <w:qFormat/>
    <w:pPr>
      <w:keepNext/>
      <w:spacing w:line="360" w:lineRule="auto"/>
      <w:jc w:val="center"/>
      <w:outlineLvl w:val="0"/>
    </w:pPr>
    <w:rPr>
      <w:b/>
      <w:sz w:val="20"/>
    </w:rPr>
  </w:style>
  <w:style w:type="paragraph" w:styleId="berschrift2">
    <w:name w:val="heading 2"/>
    <w:basedOn w:val="Standard"/>
    <w:next w:val="Standard"/>
    <w:qFormat/>
    <w:pPr>
      <w:keepNext/>
      <w:jc w:val="center"/>
      <w:outlineLvl w:val="1"/>
    </w:pPr>
    <w:rPr>
      <w:b/>
      <w:sz w:val="1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pPr>
      <w:tabs>
        <w:tab w:val="center" w:pos="4536"/>
        <w:tab w:val="right" w:pos="9072"/>
      </w:tabs>
    </w:pPr>
  </w:style>
  <w:style w:type="paragraph" w:styleId="Fuzeile">
    <w:name w:val="footer"/>
    <w:basedOn w:val="Standard"/>
    <w:link w:val="FuzeileZchn"/>
    <w:uiPriority w:val="99"/>
    <w:pPr>
      <w:tabs>
        <w:tab w:val="center" w:pos="4536"/>
        <w:tab w:val="right" w:pos="9072"/>
      </w:tabs>
    </w:pPr>
  </w:style>
  <w:style w:type="character" w:styleId="Seitenzahl">
    <w:name w:val="page number"/>
    <w:basedOn w:val="Absatz-Standardschriftart"/>
  </w:style>
  <w:style w:type="paragraph" w:styleId="Textkrper">
    <w:name w:val="Body Text"/>
    <w:basedOn w:val="Standard"/>
    <w:rPr>
      <w:sz w:val="20"/>
    </w:rPr>
  </w:style>
  <w:style w:type="paragraph" w:customStyle="1" w:styleId="Halbzeile">
    <w:name w:val="Halbzeile"/>
    <w:basedOn w:val="Standard"/>
    <w:pPr>
      <w:tabs>
        <w:tab w:val="left" w:pos="5103"/>
      </w:tabs>
      <w:spacing w:line="140" w:lineRule="exact"/>
    </w:pPr>
    <w:rPr>
      <w:sz w:val="20"/>
      <w:lang w:val="de-CH"/>
    </w:rPr>
  </w:style>
  <w:style w:type="paragraph" w:customStyle="1" w:styleId="Titel1">
    <w:name w:val="Titel1"/>
    <w:basedOn w:val="Standard"/>
    <w:pPr>
      <w:tabs>
        <w:tab w:val="left" w:pos="5103"/>
      </w:tabs>
      <w:spacing w:before="180" w:after="120" w:line="260" w:lineRule="atLeast"/>
    </w:pPr>
    <w:rPr>
      <w:b/>
      <w:sz w:val="24"/>
      <w:lang w:val="de-CH"/>
    </w:rPr>
  </w:style>
  <w:style w:type="paragraph" w:customStyle="1" w:styleId="Auflistung">
    <w:name w:val="Auflistung"/>
    <w:basedOn w:val="Auflistungvor"/>
    <w:pPr>
      <w:spacing w:before="0"/>
    </w:pPr>
  </w:style>
  <w:style w:type="paragraph" w:customStyle="1" w:styleId="Auflistungvor">
    <w:name w:val="Auflistung vor"/>
    <w:basedOn w:val="Grundtext"/>
    <w:pPr>
      <w:numPr>
        <w:numId w:val="1"/>
      </w:numPr>
      <w:spacing w:after="0" w:line="260" w:lineRule="atLeast"/>
      <w:ind w:left="284" w:hanging="284"/>
    </w:pPr>
    <w:rPr>
      <w:sz w:val="20"/>
    </w:rPr>
  </w:style>
  <w:style w:type="paragraph" w:customStyle="1" w:styleId="Grundtext">
    <w:name w:val="Grundtext"/>
    <w:basedOn w:val="Titel1"/>
    <w:pPr>
      <w:spacing w:before="60" w:after="60" w:line="220" w:lineRule="atLeast"/>
    </w:pPr>
    <w:rPr>
      <w:b w:val="0"/>
      <w:sz w:val="18"/>
    </w:rPr>
  </w:style>
  <w:style w:type="table" w:styleId="Tabellenraster">
    <w:name w:val="Table Grid"/>
    <w:basedOn w:val="NormaleTabelle"/>
    <w:rsid w:val="00E16B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fzeileZchn">
    <w:name w:val="Kopfzeile Zchn"/>
    <w:basedOn w:val="Absatz-Standardschriftart"/>
    <w:link w:val="Kopfzeile"/>
    <w:rsid w:val="008E377D"/>
    <w:rPr>
      <w:rFonts w:ascii="Arial" w:hAnsi="Arial"/>
      <w:sz w:val="22"/>
      <w:lang w:val="de-DE" w:eastAsia="de-DE" w:bidi="ar-SA"/>
    </w:rPr>
  </w:style>
  <w:style w:type="character" w:customStyle="1" w:styleId="FuzeileZchn">
    <w:name w:val="Fußzeile Zchn"/>
    <w:basedOn w:val="Absatz-Standardschriftart"/>
    <w:link w:val="Fuzeile"/>
    <w:uiPriority w:val="99"/>
    <w:rsid w:val="008B2AA7"/>
    <w:rPr>
      <w:rFonts w:ascii="Arial" w:hAnsi="Arial"/>
      <w:sz w:val="22"/>
      <w:lang w:val="de-DE" w:eastAsia="de-DE"/>
    </w:rPr>
  </w:style>
  <w:style w:type="paragraph" w:styleId="Sprechblasentext">
    <w:name w:val="Balloon Text"/>
    <w:basedOn w:val="Standard"/>
    <w:link w:val="SprechblasentextZchn"/>
    <w:rsid w:val="002013B6"/>
    <w:rPr>
      <w:rFonts w:ascii="Tahoma" w:hAnsi="Tahoma" w:cs="Tahoma"/>
      <w:sz w:val="16"/>
      <w:szCs w:val="16"/>
    </w:rPr>
  </w:style>
  <w:style w:type="character" w:customStyle="1" w:styleId="SprechblasentextZchn">
    <w:name w:val="Sprechblasentext Zchn"/>
    <w:basedOn w:val="Absatz-Standardschriftart"/>
    <w:link w:val="Sprechblasentext"/>
    <w:rsid w:val="002013B6"/>
    <w:rPr>
      <w:rFonts w:ascii="Tahoma" w:hAnsi="Tahoma" w:cs="Tahoma"/>
      <w:sz w:val="16"/>
      <w:szCs w:val="16"/>
      <w:lang w:val="de-DE" w:eastAsia="de-DE"/>
    </w:rPr>
  </w:style>
  <w:style w:type="paragraph" w:styleId="Listenabsatz">
    <w:name w:val="List Paragraph"/>
    <w:basedOn w:val="Standard"/>
    <w:uiPriority w:val="34"/>
    <w:unhideWhenUsed/>
    <w:qFormat/>
    <w:rsid w:val="00A6280E"/>
    <w:pPr>
      <w:ind w:left="227" w:hanging="227"/>
      <w:contextualSpacing/>
    </w:pPr>
  </w:style>
  <w:style w:type="character" w:styleId="Hyperlink">
    <w:name w:val="Hyperlink"/>
    <w:basedOn w:val="Absatz-Standardschriftart"/>
    <w:uiPriority w:val="99"/>
    <w:rsid w:val="007F7D62"/>
    <w:rPr>
      <w:color w:val="0000FF"/>
      <w:u w:val="single"/>
    </w:rPr>
  </w:style>
  <w:style w:type="character" w:customStyle="1" w:styleId="FormatvorlageKursiv">
    <w:name w:val="Formatvorlage Kursiv"/>
    <w:basedOn w:val="Absatz-Standardschriftart"/>
    <w:rsid w:val="002641A8"/>
    <w:rPr>
      <w:rFonts w:ascii="GBS Fago Pro" w:hAnsi="GBS Fago Pro"/>
      <w:i/>
      <w:iCs/>
    </w:rPr>
  </w:style>
  <w:style w:type="character" w:customStyle="1" w:styleId="FormatvorlageGBSFagoPro">
    <w:name w:val="Formatvorlage GBS Fago Pro"/>
    <w:basedOn w:val="Absatz-Standardschriftart"/>
    <w:rsid w:val="002641A8"/>
    <w:rPr>
      <w:rFonts w:ascii="GBS Fago Pro" w:hAnsi="GBS Fago Pro"/>
    </w:rPr>
  </w:style>
  <w:style w:type="paragraph" w:customStyle="1" w:styleId="Text2">
    <w:name w:val="Text2"/>
    <w:basedOn w:val="Standard"/>
    <w:rsid w:val="00246A59"/>
    <w:pPr>
      <w:spacing w:line="240" w:lineRule="atLeast"/>
      <w:ind w:left="5046"/>
    </w:pPr>
  </w:style>
  <w:style w:type="table" w:customStyle="1" w:styleId="TableNormal">
    <w:name w:val="Table Normal"/>
    <w:uiPriority w:val="2"/>
    <w:semiHidden/>
    <w:unhideWhenUsed/>
    <w:qFormat/>
    <w:rsid w:val="00452D78"/>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Standard"/>
    <w:uiPriority w:val="1"/>
    <w:qFormat/>
    <w:rsid w:val="00452D78"/>
    <w:pPr>
      <w:widowControl w:val="0"/>
      <w:autoSpaceDE w:val="0"/>
      <w:autoSpaceDN w:val="0"/>
    </w:pPr>
    <w:rPr>
      <w:rFonts w:eastAsia="Arial" w:cs="Arial"/>
      <w:szCs w:val="22"/>
      <w:lang w:val="de-CH" w:eastAsia="de-CH" w:bidi="de-CH"/>
    </w:rPr>
  </w:style>
  <w:style w:type="paragraph" w:customStyle="1" w:styleId="Text">
    <w:name w:val="Text"/>
    <w:rsid w:val="006377BF"/>
    <w:pPr>
      <w:widowControl w:val="0"/>
    </w:pPr>
    <w:rPr>
      <w:rFonts w:ascii="Helv" w:hAnsi="Helv"/>
      <w:color w:val="000000"/>
      <w:sz w:val="22"/>
      <w:lang w:val="de-DE" w:eastAsia="de-DE"/>
    </w:rPr>
  </w:style>
  <w:style w:type="paragraph" w:customStyle="1" w:styleId="Default">
    <w:name w:val="Default"/>
    <w:rsid w:val="007F3F10"/>
    <w:pPr>
      <w:autoSpaceDE w:val="0"/>
      <w:autoSpaceDN w:val="0"/>
      <w:adjustRightInd w:val="0"/>
    </w:pPr>
    <w:rPr>
      <w:rFonts w:ascii="Arial" w:eastAsia="MS Mincho" w:hAnsi="Arial" w:cs="Arial"/>
      <w:color w:val="000000"/>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em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F104F9-8D90-46BB-9D88-BBF53D0792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657</Words>
  <Characters>4277</Characters>
  <Application>Microsoft Office Word</Application>
  <DocSecurity>0</DocSecurity>
  <Lines>35</Lines>
  <Paragraphs>9</Paragraphs>
  <ScaleCrop>false</ScaleCrop>
  <HeadingPairs>
    <vt:vector size="2" baseType="variant">
      <vt:variant>
        <vt:lpstr>Titel</vt:lpstr>
      </vt:variant>
      <vt:variant>
        <vt:i4>1</vt:i4>
      </vt:variant>
    </vt:vector>
  </HeadingPairs>
  <TitlesOfParts>
    <vt:vector size="1" baseType="lpstr">
      <vt:lpstr>Ziel / Zweck:</vt:lpstr>
    </vt:vector>
  </TitlesOfParts>
  <Company>MST Meilen</Company>
  <LinksUpToDate>false</LinksUpToDate>
  <CharactersWithSpaces>4925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Ziel / Zweck:</dc:title>
  <dc:creator>Bossart Michael GBS-VW</dc:creator>
  <cp:lastModifiedBy>Bossart Michael GBS-VW</cp:lastModifiedBy>
  <cp:revision>7</cp:revision>
  <cp:lastPrinted>2021-04-20T05:30:00Z</cp:lastPrinted>
  <dcterms:created xsi:type="dcterms:W3CDTF">2021-03-19T11:55:00Z</dcterms:created>
  <dcterms:modified xsi:type="dcterms:W3CDTF">2021-04-20T05:30:00Z</dcterms:modified>
</cp:coreProperties>
</file>